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F6B2" w14:textId="752D8FA7" w:rsidR="00D5179B" w:rsidRPr="008C242A" w:rsidRDefault="008C242A" w:rsidP="00D5179B">
      <w:pPr>
        <w:ind w:firstLine="567"/>
        <w:jc w:val="center"/>
        <w:rPr>
          <w:rFonts w:eastAsia="Times New Roman"/>
          <w:b/>
          <w:bCs/>
          <w:sz w:val="28"/>
          <w:szCs w:val="28"/>
          <w:lang w:val="en-US" w:eastAsia="en-US"/>
        </w:rPr>
      </w:pPr>
      <w:r w:rsidRPr="008C242A">
        <w:rPr>
          <w:rFonts w:eastAsia="Times New Roman"/>
          <w:b/>
          <w:bCs/>
          <w:sz w:val="28"/>
          <w:szCs w:val="28"/>
          <w:lang w:val="en-US" w:eastAsia="en-US"/>
        </w:rPr>
        <w:t>Information on the temporary reduction factor to the tariff for the services of the backbone railway network (BRN</w:t>
      </w:r>
      <w:r w:rsidR="00D5179B" w:rsidRPr="008C242A">
        <w:rPr>
          <w:rFonts w:eastAsia="Times New Roman"/>
          <w:b/>
          <w:bCs/>
          <w:sz w:val="28"/>
          <w:szCs w:val="28"/>
          <w:lang w:val="en-US" w:eastAsia="en-US"/>
        </w:rPr>
        <w:t>)</w:t>
      </w:r>
    </w:p>
    <w:p w14:paraId="1366FEBB" w14:textId="77777777" w:rsidR="00D5179B" w:rsidRPr="008C242A" w:rsidRDefault="00D5179B" w:rsidP="00D5179B">
      <w:pPr>
        <w:ind w:firstLine="567"/>
        <w:jc w:val="both"/>
        <w:rPr>
          <w:rFonts w:eastAsia="Times New Roman"/>
          <w:sz w:val="28"/>
          <w:szCs w:val="28"/>
          <w:lang w:val="en-US" w:eastAsia="en-US"/>
        </w:rPr>
      </w:pPr>
    </w:p>
    <w:p w14:paraId="71470D45" w14:textId="77777777" w:rsidR="00D5179B" w:rsidRPr="008C242A" w:rsidRDefault="00D5179B" w:rsidP="00D5179B">
      <w:pPr>
        <w:ind w:firstLine="567"/>
        <w:jc w:val="both"/>
        <w:rPr>
          <w:rFonts w:eastAsia="Times New Roman"/>
          <w:sz w:val="28"/>
          <w:szCs w:val="28"/>
          <w:lang w:val="en-US" w:eastAsia="en-US"/>
        </w:rPr>
      </w:pPr>
    </w:p>
    <w:p w14:paraId="4DD4F8E4" w14:textId="3BBA00A2" w:rsidR="00D5179B" w:rsidRPr="008C242A" w:rsidRDefault="008C242A" w:rsidP="00D5179B">
      <w:pPr>
        <w:ind w:firstLine="567"/>
        <w:jc w:val="both"/>
        <w:rPr>
          <w:rFonts w:eastAsia="Times New Roman"/>
          <w:sz w:val="28"/>
          <w:szCs w:val="28"/>
          <w:lang w:val="en-US" w:eastAsia="en-US"/>
        </w:rPr>
      </w:pPr>
      <w:r w:rsidRPr="008C242A">
        <w:rPr>
          <w:rFonts w:eastAsia="Times New Roman"/>
          <w:sz w:val="28"/>
          <w:szCs w:val="28"/>
          <w:lang w:val="en-US" w:eastAsia="en-US"/>
        </w:rPr>
        <w:t>The temporary reduction factor to the tariff for the BRN services is approved if the following criteria are met</w:t>
      </w:r>
      <w:r w:rsidR="00D5179B" w:rsidRPr="008C242A">
        <w:rPr>
          <w:rFonts w:eastAsia="Times New Roman"/>
          <w:sz w:val="28"/>
          <w:szCs w:val="28"/>
          <w:lang w:val="en-US" w:eastAsia="en-US"/>
        </w:rPr>
        <w:t>:</w:t>
      </w:r>
    </w:p>
    <w:p w14:paraId="7E5D2129" w14:textId="09B99F89" w:rsidR="00D5179B" w:rsidRPr="001275EC" w:rsidRDefault="008C242A" w:rsidP="00D5179B">
      <w:pPr>
        <w:pStyle w:val="a3"/>
        <w:numPr>
          <w:ilvl w:val="0"/>
          <w:numId w:val="1"/>
        </w:numPr>
        <w:ind w:left="0" w:firstLine="567"/>
        <w:jc w:val="both"/>
        <w:rPr>
          <w:rFonts w:eastAsia="Times New Roman"/>
          <w:sz w:val="28"/>
          <w:szCs w:val="28"/>
          <w:lang w:val="kk-KZ" w:eastAsia="en-US"/>
        </w:rPr>
      </w:pPr>
      <w:r w:rsidRPr="008C242A">
        <w:rPr>
          <w:rFonts w:eastAsia="Times New Roman"/>
          <w:sz w:val="28"/>
          <w:szCs w:val="28"/>
          <w:lang w:val="kk-KZ" w:eastAsia="en-US"/>
        </w:rPr>
        <w:t>the declared freight turnover and (or) wagon turnover exceeds the actual one for the similar period of the previous year</w:t>
      </w:r>
      <w:r w:rsidR="00D5179B" w:rsidRPr="008C242A">
        <w:rPr>
          <w:rFonts w:eastAsia="Times New Roman"/>
          <w:sz w:val="28"/>
          <w:szCs w:val="28"/>
          <w:lang w:val="en-US" w:eastAsia="en-US"/>
        </w:rPr>
        <w:t>;</w:t>
      </w:r>
    </w:p>
    <w:p w14:paraId="55CE1608" w14:textId="5EFDBE71" w:rsidR="00D5179B" w:rsidRPr="001275EC" w:rsidRDefault="008C242A" w:rsidP="00D5179B">
      <w:pPr>
        <w:pStyle w:val="a3"/>
        <w:numPr>
          <w:ilvl w:val="0"/>
          <w:numId w:val="1"/>
        </w:numPr>
        <w:ind w:left="0" w:firstLine="567"/>
        <w:jc w:val="both"/>
        <w:rPr>
          <w:rFonts w:eastAsia="Times New Roman"/>
          <w:sz w:val="28"/>
          <w:szCs w:val="28"/>
          <w:lang w:val="kk-KZ" w:eastAsia="en-US"/>
        </w:rPr>
      </w:pPr>
      <w:r w:rsidRPr="008C242A">
        <w:rPr>
          <w:rFonts w:eastAsia="Times New Roman"/>
          <w:sz w:val="28"/>
          <w:szCs w:val="28"/>
          <w:lang w:val="kk-KZ" w:eastAsia="en-US"/>
        </w:rPr>
        <w:t>the possibility of using unused, poorly used sections of the BRN, or reorientation of freight flows to alternative routes</w:t>
      </w:r>
      <w:r w:rsidR="00D5179B" w:rsidRPr="008C242A">
        <w:rPr>
          <w:rFonts w:eastAsia="Times New Roman"/>
          <w:sz w:val="28"/>
          <w:szCs w:val="28"/>
          <w:lang w:val="en-US" w:eastAsia="en-US"/>
        </w:rPr>
        <w:t>;</w:t>
      </w:r>
    </w:p>
    <w:p w14:paraId="5E301FB9" w14:textId="2E72D18B" w:rsidR="00D5179B" w:rsidRPr="001275EC" w:rsidRDefault="008C242A" w:rsidP="00D5179B">
      <w:pPr>
        <w:pStyle w:val="a3"/>
        <w:numPr>
          <w:ilvl w:val="0"/>
          <w:numId w:val="1"/>
        </w:numPr>
        <w:ind w:left="0" w:firstLine="567"/>
        <w:jc w:val="both"/>
        <w:rPr>
          <w:rFonts w:eastAsia="Times New Roman"/>
          <w:sz w:val="28"/>
          <w:szCs w:val="28"/>
          <w:lang w:val="kk-KZ" w:eastAsia="en-US"/>
        </w:rPr>
      </w:pPr>
      <w:r w:rsidRPr="008C242A">
        <w:rPr>
          <w:rFonts w:eastAsia="Times New Roman"/>
          <w:sz w:val="28"/>
          <w:szCs w:val="28"/>
          <w:lang w:val="kk-KZ" w:eastAsia="en-US"/>
        </w:rPr>
        <w:t>environmental hazard of by-products of industrial production</w:t>
      </w:r>
      <w:r w:rsidR="00D5179B" w:rsidRPr="008C242A">
        <w:rPr>
          <w:rFonts w:eastAsia="Times New Roman"/>
          <w:sz w:val="28"/>
          <w:szCs w:val="28"/>
          <w:lang w:val="en-US" w:eastAsia="en-US"/>
        </w:rPr>
        <w:t>;</w:t>
      </w:r>
    </w:p>
    <w:p w14:paraId="773DEED8" w14:textId="2BDF2679" w:rsidR="00D5179B" w:rsidRPr="001275EC" w:rsidRDefault="00EA706C" w:rsidP="00D5179B">
      <w:pPr>
        <w:pStyle w:val="a3"/>
        <w:numPr>
          <w:ilvl w:val="0"/>
          <w:numId w:val="1"/>
        </w:numPr>
        <w:ind w:left="0" w:firstLine="567"/>
        <w:jc w:val="both"/>
        <w:rPr>
          <w:rFonts w:eastAsia="Times New Roman"/>
          <w:sz w:val="28"/>
          <w:szCs w:val="28"/>
          <w:lang w:val="kk-KZ" w:eastAsia="en-US"/>
        </w:rPr>
      </w:pPr>
      <w:r w:rsidRPr="00EA706C">
        <w:rPr>
          <w:rFonts w:eastAsia="Times New Roman"/>
          <w:sz w:val="28"/>
          <w:szCs w:val="28"/>
          <w:lang w:val="kk-KZ" w:eastAsia="en-US"/>
        </w:rPr>
        <w:t>passenger transportation</w:t>
      </w:r>
      <w:r w:rsidR="00D5179B">
        <w:rPr>
          <w:rFonts w:eastAsia="Times New Roman"/>
          <w:sz w:val="28"/>
          <w:szCs w:val="28"/>
          <w:lang w:val="en-US" w:eastAsia="en-US"/>
        </w:rPr>
        <w:t>;</w:t>
      </w:r>
    </w:p>
    <w:p w14:paraId="1E00D13A" w14:textId="571B4D02" w:rsidR="00D5179B" w:rsidRPr="001275EC" w:rsidRDefault="00EA706C" w:rsidP="00D5179B">
      <w:pPr>
        <w:pStyle w:val="a3"/>
        <w:numPr>
          <w:ilvl w:val="0"/>
          <w:numId w:val="1"/>
        </w:numPr>
        <w:ind w:left="0" w:firstLine="567"/>
        <w:jc w:val="both"/>
        <w:rPr>
          <w:rFonts w:eastAsia="Times New Roman"/>
          <w:sz w:val="28"/>
          <w:szCs w:val="28"/>
          <w:lang w:val="kk-KZ" w:eastAsia="en-US"/>
        </w:rPr>
      </w:pPr>
      <w:r w:rsidRPr="00EA706C">
        <w:rPr>
          <w:rFonts w:eastAsia="Times New Roman"/>
          <w:sz w:val="28"/>
          <w:szCs w:val="28"/>
          <w:lang w:val="kk-KZ" w:eastAsia="en-US"/>
        </w:rPr>
        <w:t>the possibility of redirecting freight traffic flows from alternative modes of transport to rail transport</w:t>
      </w:r>
      <w:r w:rsidR="00D5179B" w:rsidRPr="00EA706C">
        <w:rPr>
          <w:rFonts w:eastAsia="Times New Roman"/>
          <w:sz w:val="28"/>
          <w:szCs w:val="28"/>
          <w:lang w:val="en-US" w:eastAsia="en-US"/>
        </w:rPr>
        <w:t>;</w:t>
      </w:r>
    </w:p>
    <w:p w14:paraId="2067622F" w14:textId="39CD7799" w:rsidR="00D5179B" w:rsidRDefault="00EA706C" w:rsidP="00D5179B">
      <w:pPr>
        <w:pStyle w:val="a3"/>
        <w:numPr>
          <w:ilvl w:val="0"/>
          <w:numId w:val="1"/>
        </w:numPr>
        <w:ind w:left="0" w:firstLine="567"/>
        <w:jc w:val="both"/>
        <w:rPr>
          <w:rFonts w:eastAsia="Times New Roman"/>
          <w:sz w:val="28"/>
          <w:szCs w:val="28"/>
          <w:lang w:val="kk-KZ" w:eastAsia="en-US"/>
        </w:rPr>
      </w:pPr>
      <w:r w:rsidRPr="00EA706C">
        <w:rPr>
          <w:rFonts w:eastAsia="Times New Roman"/>
          <w:sz w:val="28"/>
          <w:szCs w:val="28"/>
          <w:lang w:val="kk-KZ" w:eastAsia="en-US"/>
        </w:rPr>
        <w:t>maintaining and (or) reducing the volume of freight transportation to prevent the associated stoppage or decrease in production volumes caused by a decrease in prices in international markets</w:t>
      </w:r>
      <w:r w:rsidR="00D5179B">
        <w:rPr>
          <w:rFonts w:eastAsia="Times New Roman"/>
          <w:sz w:val="28"/>
          <w:szCs w:val="28"/>
          <w:lang w:val="kk-KZ" w:eastAsia="en-US"/>
        </w:rPr>
        <w:t>.</w:t>
      </w:r>
    </w:p>
    <w:p w14:paraId="266D8A49" w14:textId="77777777" w:rsidR="00EA706C" w:rsidRPr="00EA706C" w:rsidRDefault="00EA706C" w:rsidP="00EA706C">
      <w:pPr>
        <w:ind w:firstLine="567"/>
        <w:jc w:val="both"/>
        <w:rPr>
          <w:rFonts w:eastAsia="Times New Roman"/>
          <w:sz w:val="28"/>
          <w:szCs w:val="28"/>
          <w:lang w:val="kk-KZ" w:eastAsia="en-US"/>
        </w:rPr>
      </w:pPr>
      <w:r w:rsidRPr="00EA706C">
        <w:rPr>
          <w:rFonts w:eastAsia="Times New Roman"/>
          <w:sz w:val="28"/>
          <w:szCs w:val="28"/>
          <w:lang w:val="kk-KZ" w:eastAsia="en-US"/>
        </w:rPr>
        <w:t>The temporary reduction factor is established based on the calculation of the economic efficiency and expediency of this measure for the Government, NC KTZ JSC, and the consumer.</w:t>
      </w:r>
    </w:p>
    <w:p w14:paraId="42ABC386" w14:textId="535EC878" w:rsidR="00D5179B" w:rsidRDefault="00EA706C" w:rsidP="00EA706C">
      <w:pPr>
        <w:ind w:firstLine="567"/>
        <w:jc w:val="both"/>
        <w:rPr>
          <w:rFonts w:eastAsia="Times New Roman"/>
          <w:sz w:val="28"/>
          <w:szCs w:val="28"/>
          <w:lang w:val="kk-KZ" w:eastAsia="en-US"/>
        </w:rPr>
      </w:pPr>
      <w:r w:rsidRPr="00EA706C">
        <w:rPr>
          <w:rFonts w:eastAsia="Times New Roman"/>
          <w:sz w:val="28"/>
          <w:szCs w:val="28"/>
          <w:lang w:val="kk-KZ" w:eastAsia="en-US"/>
        </w:rPr>
        <w:t>The temporary reduction factor is approved by the authorized state agency, Committee for the Regulation of Natural Monopolies of the Ministry of National Economy of the Republic of Kazakhstan, at the request of the consumer</w:t>
      </w:r>
      <w:r w:rsidR="00D5179B">
        <w:rPr>
          <w:rFonts w:eastAsia="Times New Roman"/>
          <w:sz w:val="28"/>
          <w:szCs w:val="28"/>
          <w:lang w:val="kk-KZ" w:eastAsia="en-US"/>
        </w:rPr>
        <w:t>.</w:t>
      </w:r>
    </w:p>
    <w:p w14:paraId="5278C059" w14:textId="77777777" w:rsidR="00D5179B" w:rsidRPr="00EA706C" w:rsidRDefault="00D5179B" w:rsidP="00D5179B">
      <w:pPr>
        <w:ind w:firstLine="567"/>
        <w:jc w:val="both"/>
        <w:rPr>
          <w:rFonts w:eastAsia="Times New Roman"/>
          <w:sz w:val="28"/>
          <w:szCs w:val="28"/>
          <w:lang w:val="en-US" w:eastAsia="en-US"/>
        </w:rPr>
      </w:pPr>
    </w:p>
    <w:p w14:paraId="7D77F9E9" w14:textId="24889733" w:rsidR="00D5179B" w:rsidRDefault="00EA706C" w:rsidP="00D5179B">
      <w:pPr>
        <w:ind w:firstLine="567"/>
        <w:jc w:val="both"/>
        <w:rPr>
          <w:rFonts w:eastAsia="Times New Roman"/>
          <w:sz w:val="28"/>
          <w:szCs w:val="28"/>
          <w:lang w:eastAsia="en-US"/>
        </w:rPr>
      </w:pPr>
      <w:r w:rsidRPr="00EA706C">
        <w:rPr>
          <w:rFonts w:eastAsia="Times New Roman"/>
          <w:sz w:val="28"/>
          <w:szCs w:val="28"/>
          <w:lang w:val="en-US" w:eastAsia="en-US"/>
        </w:rPr>
        <w:t xml:space="preserve">The procedure and conditions for approving a temporary reduction factor for tariffs for the BRN services are established by the Tariff Formation Rules approved by order of the Minister of National Economy of the Republic of Kazakhstan dated November 19, 2019. </w:t>
      </w:r>
      <w:r w:rsidRPr="00EA706C">
        <w:rPr>
          <w:rFonts w:eastAsia="Times New Roman"/>
          <w:sz w:val="28"/>
          <w:szCs w:val="28"/>
          <w:lang w:eastAsia="en-US"/>
        </w:rPr>
        <w:t>No. 90</w:t>
      </w:r>
      <w:r w:rsidR="00D5179B">
        <w:rPr>
          <w:rFonts w:eastAsia="Times New Roman"/>
          <w:sz w:val="28"/>
          <w:szCs w:val="28"/>
          <w:lang w:eastAsia="en-US"/>
        </w:rPr>
        <w:t>.</w:t>
      </w:r>
    </w:p>
    <w:p w14:paraId="7EBB48D7" w14:textId="77777777" w:rsidR="000E7D04" w:rsidRDefault="00000000"/>
    <w:sectPr w:rsidR="000E7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37553"/>
    <w:multiLevelType w:val="hybridMultilevel"/>
    <w:tmpl w:val="8B4AF9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551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9B"/>
    <w:rsid w:val="00204A6C"/>
    <w:rsid w:val="008C242A"/>
    <w:rsid w:val="008C6FBD"/>
    <w:rsid w:val="00BB0588"/>
    <w:rsid w:val="00BB5022"/>
    <w:rsid w:val="00C918D8"/>
    <w:rsid w:val="00CD1856"/>
    <w:rsid w:val="00D5179B"/>
    <w:rsid w:val="00EA706C"/>
    <w:rsid w:val="00FB3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06E5"/>
  <w15:docId w15:val="{547CF4A9-8A72-4249-9CF1-144B6E6B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79B"/>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 Д Досанова</dc:creator>
  <cp:lastModifiedBy>Ришат М Сагымбаев</cp:lastModifiedBy>
  <cp:revision>3</cp:revision>
  <dcterms:created xsi:type="dcterms:W3CDTF">2022-12-09T04:36:00Z</dcterms:created>
  <dcterms:modified xsi:type="dcterms:W3CDTF">2022-12-09T04:59:00Z</dcterms:modified>
</cp:coreProperties>
</file>