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9C82" w14:textId="77777777" w:rsidR="00985F56" w:rsidRPr="0065516F" w:rsidRDefault="00985F56" w:rsidP="00FB05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14:paraId="493F1033" w14:textId="73E51567" w:rsidR="00985F56" w:rsidRPr="00000B78" w:rsidRDefault="00E547B1" w:rsidP="00985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000B78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2</w:t>
      </w:r>
      <w:r w:rsidR="007B6AEF" w:rsidRPr="0055579E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4</w:t>
      </w:r>
      <w:r w:rsidR="00CA6AD0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апреля 202</w:t>
      </w:r>
      <w:r w:rsidR="007B6AEF" w:rsidRPr="0055579E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4</w:t>
      </w:r>
      <w:r w:rsidR="00985F56" w:rsidRPr="00000B78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год</w:t>
      </w:r>
      <w:r w:rsidR="00AA3563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а</w:t>
      </w:r>
    </w:p>
    <w:p w14:paraId="135D60BA" w14:textId="77777777" w:rsidR="00FB05D3" w:rsidRPr="0065516F" w:rsidRDefault="008F0F30" w:rsidP="00FB05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Обоснование</w:t>
      </w:r>
      <w:r w:rsidR="00FB05D3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</w:t>
      </w:r>
    </w:p>
    <w:p w14:paraId="00547E24" w14:textId="77777777" w:rsidR="008F0F30" w:rsidRPr="0065516F" w:rsidRDefault="008F0F30" w:rsidP="00F64B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 </w:t>
      </w:r>
      <w:r w:rsidR="00F64B69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отчет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</w:t>
      </w:r>
      <w:r w:rsidR="00F64B69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 деятельности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АО «НК «КТЖ» </w:t>
      </w:r>
    </w:p>
    <w:p w14:paraId="4477D1E4" w14:textId="63EA162F" w:rsidR="008F0F30" w:rsidRPr="0065516F" w:rsidRDefault="00F64B69" w:rsidP="00F64B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</w:t>
      </w:r>
      <w:r w:rsidR="007C38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регулируемым </w:t>
      </w:r>
      <w:r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услугам</w:t>
      </w:r>
      <w:r w:rsidR="008F0F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магистральной железнодорожной сети за 20</w:t>
      </w:r>
      <w:r w:rsidR="002F06E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2</w:t>
      </w:r>
      <w:r w:rsidR="002A23A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3</w:t>
      </w:r>
      <w:r w:rsidR="008F0F30" w:rsidRPr="006551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год</w:t>
      </w:r>
    </w:p>
    <w:p w14:paraId="43BBF51E" w14:textId="77777777" w:rsidR="00CD62D8" w:rsidRPr="0065516F" w:rsidRDefault="00CD62D8" w:rsidP="00985F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 w:color="01154D"/>
          <w:lang w:val="ru-RU"/>
        </w:rPr>
      </w:pPr>
    </w:p>
    <w:p w14:paraId="1CB7473C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1.Общая информация </w:t>
      </w:r>
      <w:r w:rsidR="00DE0836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об «АО «НК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«КТЖ» </w:t>
      </w:r>
    </w:p>
    <w:p w14:paraId="3E347947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Развернутая длина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410F9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21 </w:t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120,3</w:t>
      </w:r>
      <w:r w:rsidR="00410F93" w:rsidRPr="009D66C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км</w:t>
      </w:r>
    </w:p>
    <w:p w14:paraId="7E1D6045" w14:textId="0F06A0C9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Эксплуатационная длина ж/д сети, в том числе: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16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 0</w:t>
      </w:r>
      <w:r w:rsidR="004E605D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0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5,6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13660D4D" w14:textId="1CC8E71F" w:rsidR="004E605D" w:rsidRPr="009D66C5" w:rsidRDefault="004E605D" w:rsidP="004E60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длина 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одно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путных линий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10 987,7 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км</w:t>
      </w:r>
    </w:p>
    <w:p w14:paraId="2C024918" w14:textId="09C3F94D" w:rsidR="004E605D" w:rsidRPr="009D66C5" w:rsidRDefault="004E605D" w:rsidP="004E60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длина двух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и трех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путных линий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5 017,9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400FD0EF" w14:textId="2D197662" w:rsidR="008F0F30" w:rsidRPr="009D66C5" w:rsidRDefault="004E605D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Д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лина электрифицированных участков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4 237,5 км</w:t>
      </w:r>
    </w:p>
    <w:p w14:paraId="39CF26F5" w14:textId="342018A4" w:rsidR="008F0F30" w:rsidRPr="009D66C5" w:rsidRDefault="004E605D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Эксплуатационная</w:t>
      </w:r>
      <w:r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длина бесстыковых путей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15</w:t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 709,4</w:t>
      </w:r>
      <w:r w:rsidR="008F0F30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км</w:t>
      </w:r>
    </w:p>
    <w:p w14:paraId="5B165F71" w14:textId="5D814F1C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межгосударственных стыковых пунктов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1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6</w:t>
      </w:r>
    </w:p>
    <w:p w14:paraId="0458551C" w14:textId="1B0F5EE3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станций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8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31</w:t>
      </w:r>
    </w:p>
    <w:p w14:paraId="4BC5CB98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отделений магистральной сети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12</w:t>
      </w:r>
    </w:p>
    <w:p w14:paraId="7E205770" w14:textId="1C1986FC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ПЧ (дистанции пути)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410F9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4</w:t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6</w:t>
      </w:r>
    </w:p>
    <w:p w14:paraId="39C75FFF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ЭЧ (дистанции электроснабжения)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25</w:t>
      </w:r>
    </w:p>
    <w:p w14:paraId="30BA7A4D" w14:textId="77777777" w:rsidR="00A16F39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Количество ШЧ (дистанция сигнализации и связи)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A16F39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              36</w:t>
      </w:r>
    </w:p>
    <w:p w14:paraId="7CF2AC71" w14:textId="2584E44F" w:rsidR="00A16F39" w:rsidRPr="009D66C5" w:rsidRDefault="00A16F39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Вокзалы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  <w:t>30</w:t>
      </w:r>
      <w:r w:rsidR="00AA3563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1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зданий</w:t>
      </w:r>
    </w:p>
    <w:p w14:paraId="04CE6E67" w14:textId="3C8F58D0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Численность </w:t>
      </w:r>
      <w:r w:rsidR="005D2F96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работников АО «НК «КТЖ» (за 202</w:t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3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год)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ab/>
      </w:r>
      <w:r w:rsidR="002A23A7"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>44 585</w:t>
      </w:r>
      <w:r w:rsidRPr="009D66C5">
        <w:rPr>
          <w:rFonts w:ascii="Times New Roman" w:hAnsi="Times New Roman" w:cs="Times New Roman"/>
          <w:bCs/>
          <w:iCs/>
          <w:sz w:val="28"/>
          <w:szCs w:val="28"/>
          <w:u w:color="000000"/>
          <w:lang w:val="ru-RU"/>
        </w:rPr>
        <w:t xml:space="preserve"> ед.</w:t>
      </w:r>
    </w:p>
    <w:p w14:paraId="7E6E28ED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</w:p>
    <w:p w14:paraId="1D5EAE47" w14:textId="18B76B1D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2.Об объ</w:t>
      </w:r>
      <w:r w:rsidR="0055579E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е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мах предоставленных услуг</w:t>
      </w:r>
    </w:p>
    <w:p w14:paraId="00036F52" w14:textId="77777777" w:rsidR="002A23A7" w:rsidRPr="009D66C5" w:rsidRDefault="002A23A7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sz w:val="28"/>
          <w:szCs w:val="28"/>
          <w:u w:color="01154D"/>
          <w:lang w:val="ru-RU"/>
        </w:rPr>
        <w:t xml:space="preserve">Грузооборот тарифный в </w:t>
      </w:r>
      <w:r w:rsidRPr="009D66C5">
        <w:rPr>
          <w:rFonts w:ascii="Times New Roman" w:hAnsi="Times New Roman" w:cs="Times New Roman"/>
          <w:sz w:val="28"/>
          <w:szCs w:val="28"/>
          <w:u w:color="01154D"/>
          <w:lang w:val="ru-RU"/>
        </w:rPr>
        <w:t>2023 году составил 209 834 млн. т-км.</w:t>
      </w:r>
    </w:p>
    <w:p w14:paraId="1ED24AA6" w14:textId="77777777" w:rsidR="002A23A7" w:rsidRPr="009D66C5" w:rsidRDefault="002A23A7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 xml:space="preserve">К плану </w:t>
      </w:r>
      <w:r w:rsidRPr="009D66C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color="01154D"/>
          <w:lang w:val="ru-RU"/>
        </w:rPr>
        <w:t>грузооборот   перевыполнен</w:t>
      </w:r>
      <w:r w:rsidRPr="009D66C5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 xml:space="preserve"> на 6%.</w:t>
      </w:r>
    </w:p>
    <w:p w14:paraId="04867C14" w14:textId="77777777" w:rsidR="002A23A7" w:rsidRPr="009D66C5" w:rsidRDefault="002A23A7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color w:val="000000" w:themeColor="text1"/>
          <w:sz w:val="28"/>
          <w:szCs w:val="28"/>
          <w:u w:color="01154D"/>
          <w:lang w:val="ru-RU"/>
        </w:rPr>
        <w:t>Рост:</w:t>
      </w:r>
    </w:p>
    <w:p w14:paraId="3652CE4A" w14:textId="77777777" w:rsidR="002A23A7" w:rsidRPr="009D66C5" w:rsidRDefault="002A23A7" w:rsidP="009D66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в экспортном сообщении 96 274 млн. ткм, что на 14 389 млн. ткм или на 18% больше плана ТС, </w:t>
      </w:r>
      <w:r w:rsidRPr="009D66C5">
        <w:rPr>
          <w:rFonts w:ascii="Times New Roman" w:hAnsi="Times New Roman" w:cs="Times New Roman"/>
          <w:sz w:val="28"/>
          <w:szCs w:val="28"/>
          <w:lang w:val="ru-RU"/>
        </w:rPr>
        <w:t>за счет роста средней дальности перевозок грузов на 13,8%;</w:t>
      </w:r>
    </w:p>
    <w:p w14:paraId="21C0C5DD" w14:textId="77777777" w:rsidR="002A23A7" w:rsidRPr="009D66C5" w:rsidRDefault="002A23A7" w:rsidP="009D66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sz w:val="28"/>
          <w:szCs w:val="28"/>
          <w:lang w:val="ru-RU"/>
        </w:rPr>
        <w:t>- в импортном сообщении 24 428 млн. ткм, что на 6 520 млн. ткм или на 36% больше плана ТС, за счет увеличения объёмов перевозок грузов плану к ТС на 30,1%;</w:t>
      </w:r>
    </w:p>
    <w:p w14:paraId="7B736A53" w14:textId="630D6759" w:rsidR="002A23A7" w:rsidRPr="009D66C5" w:rsidRDefault="002A23A7" w:rsidP="009D66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 внутриреспубликанском сообщении 89 132 млн. ткм, что на 8 668 млн. ткм или на 9% меньше плана ТС, </w:t>
      </w:r>
      <w:r w:rsidRPr="009D66C5">
        <w:rPr>
          <w:rFonts w:ascii="Times New Roman" w:hAnsi="Times New Roman" w:cs="Times New Roman"/>
          <w:sz w:val="28"/>
          <w:szCs w:val="28"/>
          <w:lang w:val="ru-RU"/>
        </w:rPr>
        <w:t>за счет снижения объёма перевозок грузов на 5,2% к плану ТС;</w:t>
      </w:r>
    </w:p>
    <w:p w14:paraId="7DB75848" w14:textId="77777777" w:rsidR="002A23A7" w:rsidRPr="009D66C5" w:rsidRDefault="002A23A7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</w:pPr>
      <w:bookmarkStart w:id="0" w:name="_Hlk132995043"/>
      <w:r w:rsidRPr="009D66C5"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  <w:t>Пробег пассажирских вагонов за 2023 год по 15-ти перевозчикам составил 728 142 тыс. вагон-км</w:t>
      </w:r>
      <w:bookmarkEnd w:id="0"/>
      <w:r w:rsidRPr="009D66C5"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  <w:t xml:space="preserve">. </w:t>
      </w:r>
    </w:p>
    <w:p w14:paraId="79514713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u w:color="01154D"/>
          <w:lang w:val="ru-RU"/>
        </w:rPr>
      </w:pPr>
    </w:p>
    <w:p w14:paraId="3E20956B" w14:textId="77777777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lastRenderedPageBreak/>
        <w:t>3.Об основных финансово-экономических показателях монопольных услуг</w:t>
      </w:r>
    </w:p>
    <w:p w14:paraId="3FDC2260" w14:textId="77777777" w:rsidR="00410F93" w:rsidRPr="009D66C5" w:rsidRDefault="00410F93" w:rsidP="009D66C5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14:paraId="7B1F8A46" w14:textId="77777777" w:rsidR="008F0F30" w:rsidRPr="009D66C5" w:rsidRDefault="008F0F30" w:rsidP="009D66C5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Доходы</w:t>
      </w:r>
    </w:p>
    <w:p w14:paraId="0408A8A1" w14:textId="0F4B1FE8" w:rsidR="008F0F30" w:rsidRPr="009D66C5" w:rsidRDefault="008F0F30" w:rsidP="009D66C5">
      <w:pPr>
        <w:pStyle w:val="3"/>
        <w:spacing w:after="0"/>
        <w:ind w:left="0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D66C5">
        <w:rPr>
          <w:rFonts w:eastAsiaTheme="minorHAnsi"/>
          <w:sz w:val="28"/>
          <w:szCs w:val="28"/>
          <w:lang w:val="ru-RU" w:eastAsia="en-US"/>
        </w:rPr>
        <w:t xml:space="preserve">Доходы, полученные от оказания услуг монопольной деятельности Компании, всего за отчетный период составили </w:t>
      </w:r>
      <w:r w:rsidR="002A23A7" w:rsidRPr="009D66C5">
        <w:rPr>
          <w:rFonts w:eastAsiaTheme="minorHAnsi"/>
          <w:sz w:val="28"/>
          <w:szCs w:val="28"/>
          <w:lang w:val="ru-RU" w:eastAsia="en-US"/>
        </w:rPr>
        <w:t>476 118</w:t>
      </w:r>
      <w:r w:rsidR="00A16F39" w:rsidRPr="009D66C5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D66C5">
        <w:rPr>
          <w:rFonts w:eastAsiaTheme="minorHAnsi"/>
          <w:sz w:val="28"/>
          <w:szCs w:val="28"/>
          <w:lang w:val="ru-RU" w:eastAsia="en-US"/>
        </w:rPr>
        <w:t xml:space="preserve"> млн. тенге, в том числе:</w:t>
      </w:r>
    </w:p>
    <w:p w14:paraId="5B39CC14" w14:textId="18CE0DB9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1.</w:t>
      </w:r>
      <w:r w:rsidRPr="009D66C5">
        <w:rPr>
          <w:bCs/>
          <w:sz w:val="28"/>
          <w:szCs w:val="28"/>
          <w:lang w:val="ru-RU"/>
        </w:rPr>
        <w:t xml:space="preserve"> Д</w:t>
      </w:r>
      <w:r w:rsidRPr="009D66C5">
        <w:rPr>
          <w:bCs/>
          <w:sz w:val="28"/>
          <w:szCs w:val="28"/>
        </w:rPr>
        <w:t xml:space="preserve">оходы </w:t>
      </w:r>
      <w:r w:rsidRPr="009D66C5">
        <w:rPr>
          <w:bCs/>
          <w:sz w:val="28"/>
          <w:szCs w:val="28"/>
          <w:lang w:val="ru-RU"/>
        </w:rPr>
        <w:t xml:space="preserve">от оказания услуг магистральной железнодорожной сети </w:t>
      </w:r>
      <w:r w:rsidR="00E66E62" w:rsidRPr="009D66C5">
        <w:rPr>
          <w:bCs/>
          <w:sz w:val="28"/>
          <w:szCs w:val="28"/>
          <w:lang w:val="ru-RU"/>
        </w:rPr>
        <w:t>(МЖС)</w:t>
      </w:r>
      <w:r w:rsidR="005A2133"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  <w:lang w:val="ru-RU"/>
        </w:rPr>
        <w:t>составили</w:t>
      </w:r>
      <w:r w:rsidRPr="009D66C5">
        <w:rPr>
          <w:bCs/>
          <w:sz w:val="28"/>
          <w:szCs w:val="28"/>
        </w:rPr>
        <w:t xml:space="preserve"> </w:t>
      </w:r>
      <w:r w:rsidR="002A23A7" w:rsidRPr="009D66C5">
        <w:rPr>
          <w:bCs/>
          <w:sz w:val="28"/>
          <w:szCs w:val="28"/>
          <w:lang w:val="ru-RU"/>
        </w:rPr>
        <w:t>473 564</w:t>
      </w:r>
      <w:r w:rsidR="00D37035"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  <w:lang w:val="ru-RU"/>
        </w:rPr>
        <w:t>млн</w:t>
      </w:r>
      <w:r w:rsidRPr="009D66C5">
        <w:rPr>
          <w:bCs/>
          <w:sz w:val="28"/>
          <w:szCs w:val="28"/>
        </w:rPr>
        <w:t>. тенге</w:t>
      </w:r>
      <w:r w:rsidRPr="009D66C5">
        <w:rPr>
          <w:bCs/>
          <w:sz w:val="28"/>
          <w:szCs w:val="28"/>
          <w:lang w:val="ru-RU"/>
        </w:rPr>
        <w:t>.</w:t>
      </w:r>
    </w:p>
    <w:p w14:paraId="5356FFD2" w14:textId="0EA40112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 xml:space="preserve">2. </w:t>
      </w:r>
      <w:r w:rsidRPr="009D66C5">
        <w:rPr>
          <w:bCs/>
          <w:sz w:val="28"/>
          <w:szCs w:val="28"/>
          <w:lang w:val="ru-RU"/>
        </w:rPr>
        <w:t xml:space="preserve">Доходы от оказания услуг подъездных путей сложились </w:t>
      </w:r>
      <w:r w:rsidR="00DE537D" w:rsidRPr="009D66C5">
        <w:rPr>
          <w:bCs/>
          <w:sz w:val="28"/>
          <w:szCs w:val="28"/>
          <w:lang w:val="ru-RU"/>
        </w:rPr>
        <w:t xml:space="preserve">на уровне </w:t>
      </w:r>
      <w:r w:rsidR="002A23A7" w:rsidRPr="009D66C5">
        <w:rPr>
          <w:bCs/>
          <w:sz w:val="28"/>
          <w:szCs w:val="28"/>
          <w:lang w:val="ru-RU"/>
        </w:rPr>
        <w:t xml:space="preserve">54 </w:t>
      </w:r>
      <w:r w:rsidRPr="009D66C5">
        <w:rPr>
          <w:bCs/>
          <w:sz w:val="28"/>
          <w:szCs w:val="28"/>
          <w:lang w:val="ru-RU"/>
        </w:rPr>
        <w:t>млн</w:t>
      </w:r>
      <w:r w:rsidRPr="009D66C5">
        <w:rPr>
          <w:bCs/>
          <w:sz w:val="28"/>
          <w:szCs w:val="28"/>
        </w:rPr>
        <w:t>. тенге</w:t>
      </w:r>
      <w:r w:rsidRPr="009D66C5">
        <w:rPr>
          <w:bCs/>
          <w:sz w:val="28"/>
          <w:szCs w:val="28"/>
          <w:lang w:val="ru-RU"/>
        </w:rPr>
        <w:t>.</w:t>
      </w:r>
    </w:p>
    <w:p w14:paraId="4BA0EBFD" w14:textId="5D97CE39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3.</w:t>
      </w:r>
      <w:r w:rsidRPr="009D66C5">
        <w:rPr>
          <w:bCs/>
          <w:sz w:val="28"/>
          <w:szCs w:val="28"/>
          <w:lang w:val="ru-RU"/>
        </w:rPr>
        <w:t xml:space="preserve"> Доходы от оказания услуг по передаче элект</w:t>
      </w:r>
      <w:r w:rsidR="00CE00D1" w:rsidRPr="009D66C5">
        <w:rPr>
          <w:bCs/>
          <w:sz w:val="28"/>
          <w:szCs w:val="28"/>
          <w:lang w:val="ru-RU"/>
        </w:rPr>
        <w:t xml:space="preserve">рической энергии составили </w:t>
      </w:r>
      <w:r w:rsidR="002A23A7" w:rsidRPr="009D66C5">
        <w:rPr>
          <w:bCs/>
          <w:sz w:val="28"/>
          <w:szCs w:val="28"/>
          <w:lang w:val="ru-RU"/>
        </w:rPr>
        <w:t>2 500</w:t>
      </w:r>
      <w:r w:rsidRPr="009D66C5">
        <w:rPr>
          <w:bCs/>
          <w:sz w:val="28"/>
          <w:szCs w:val="28"/>
          <w:lang w:val="ru-RU"/>
        </w:rPr>
        <w:t xml:space="preserve"> млн.</w:t>
      </w:r>
      <w:r w:rsidRPr="009D66C5">
        <w:rPr>
          <w:bCs/>
          <w:sz w:val="28"/>
          <w:szCs w:val="28"/>
        </w:rPr>
        <w:t xml:space="preserve"> тенге</w:t>
      </w:r>
      <w:r w:rsidRPr="009D66C5">
        <w:rPr>
          <w:bCs/>
          <w:sz w:val="28"/>
          <w:szCs w:val="28"/>
          <w:lang w:val="ru-RU"/>
        </w:rPr>
        <w:t>.</w:t>
      </w:r>
    </w:p>
    <w:p w14:paraId="778A146F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sz w:val="28"/>
          <w:szCs w:val="28"/>
          <w:lang w:val="ru-RU"/>
        </w:rPr>
      </w:pPr>
      <w:r w:rsidRPr="009D66C5">
        <w:rPr>
          <w:b/>
          <w:sz w:val="28"/>
          <w:szCs w:val="28"/>
          <w:lang w:val="ru-RU"/>
        </w:rPr>
        <w:t>Расходы</w:t>
      </w:r>
    </w:p>
    <w:p w14:paraId="073EEA20" w14:textId="795EEE8A" w:rsidR="008F0F30" w:rsidRPr="00D20F1D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9D66C5">
        <w:rPr>
          <w:bCs/>
          <w:sz w:val="28"/>
          <w:szCs w:val="28"/>
          <w:lang w:val="ru-RU"/>
        </w:rPr>
        <w:t xml:space="preserve">Расходы, от оказания услуг монопольной деятельности Компании </w:t>
      </w:r>
      <w:r w:rsidRPr="009D66C5">
        <w:rPr>
          <w:bCs/>
          <w:sz w:val="28"/>
          <w:szCs w:val="28"/>
        </w:rPr>
        <w:t xml:space="preserve">всего за отчетный период </w:t>
      </w:r>
      <w:r w:rsidRPr="00D20F1D">
        <w:rPr>
          <w:bCs/>
          <w:sz w:val="28"/>
          <w:szCs w:val="28"/>
        </w:rPr>
        <w:t xml:space="preserve">составили </w:t>
      </w:r>
      <w:r w:rsidR="002A23A7" w:rsidRPr="00D20F1D">
        <w:rPr>
          <w:bCs/>
          <w:sz w:val="28"/>
          <w:szCs w:val="28"/>
          <w:lang w:val="ru-RU"/>
        </w:rPr>
        <w:t>530 2</w:t>
      </w:r>
      <w:r w:rsidR="00D20F1D" w:rsidRPr="00D20F1D">
        <w:rPr>
          <w:bCs/>
          <w:sz w:val="28"/>
          <w:szCs w:val="28"/>
          <w:lang w:val="ru-RU"/>
        </w:rPr>
        <w:t>2</w:t>
      </w:r>
      <w:r w:rsidR="002A23A7" w:rsidRPr="00D20F1D">
        <w:rPr>
          <w:bCs/>
          <w:sz w:val="28"/>
          <w:szCs w:val="28"/>
          <w:lang w:val="ru-RU"/>
        </w:rPr>
        <w:t>2</w:t>
      </w:r>
      <w:r w:rsidRPr="00D20F1D">
        <w:rPr>
          <w:bCs/>
          <w:sz w:val="28"/>
          <w:szCs w:val="28"/>
          <w:lang w:val="ru-RU"/>
        </w:rPr>
        <w:t xml:space="preserve"> </w:t>
      </w:r>
      <w:r w:rsidRPr="00D20F1D">
        <w:rPr>
          <w:bCs/>
          <w:sz w:val="28"/>
          <w:szCs w:val="28"/>
        </w:rPr>
        <w:t>мл</w:t>
      </w:r>
      <w:r w:rsidRPr="00D20F1D">
        <w:rPr>
          <w:bCs/>
          <w:sz w:val="28"/>
          <w:szCs w:val="28"/>
          <w:lang w:val="ru-RU"/>
        </w:rPr>
        <w:t>н</w:t>
      </w:r>
      <w:r w:rsidRPr="00D20F1D">
        <w:rPr>
          <w:bCs/>
          <w:sz w:val="28"/>
          <w:szCs w:val="28"/>
        </w:rPr>
        <w:t xml:space="preserve">. тенге, в том числе: </w:t>
      </w:r>
    </w:p>
    <w:p w14:paraId="13A89496" w14:textId="7A6D49EE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D20F1D">
        <w:rPr>
          <w:b/>
          <w:bCs/>
          <w:sz w:val="28"/>
          <w:szCs w:val="28"/>
          <w:lang w:val="ru-RU"/>
        </w:rPr>
        <w:t>1.</w:t>
      </w:r>
      <w:r w:rsidRPr="00D20F1D">
        <w:rPr>
          <w:bCs/>
          <w:sz w:val="28"/>
          <w:szCs w:val="28"/>
          <w:lang w:val="ru-RU"/>
        </w:rPr>
        <w:t xml:space="preserve"> От оказания услуг МЖС </w:t>
      </w:r>
      <w:r w:rsidRPr="00D20F1D">
        <w:rPr>
          <w:bCs/>
          <w:sz w:val="28"/>
          <w:szCs w:val="28"/>
        </w:rPr>
        <w:t>за отчетный период составил</w:t>
      </w:r>
      <w:r w:rsidRPr="00D20F1D">
        <w:rPr>
          <w:bCs/>
          <w:sz w:val="28"/>
          <w:szCs w:val="28"/>
          <w:lang w:val="ru-RU"/>
        </w:rPr>
        <w:t xml:space="preserve">и </w:t>
      </w:r>
      <w:r w:rsidR="002A23A7" w:rsidRPr="00D20F1D">
        <w:rPr>
          <w:bCs/>
          <w:sz w:val="28"/>
          <w:szCs w:val="28"/>
          <w:lang w:val="ru-RU"/>
        </w:rPr>
        <w:t>526 6</w:t>
      </w:r>
      <w:r w:rsidR="00D20F1D" w:rsidRPr="00D20F1D">
        <w:rPr>
          <w:bCs/>
          <w:sz w:val="28"/>
          <w:szCs w:val="28"/>
          <w:lang w:val="ru-RU"/>
        </w:rPr>
        <w:t>4</w:t>
      </w:r>
      <w:r w:rsidR="002A23A7" w:rsidRPr="00D20F1D">
        <w:rPr>
          <w:bCs/>
          <w:sz w:val="28"/>
          <w:szCs w:val="28"/>
          <w:lang w:val="ru-RU"/>
        </w:rPr>
        <w:t>2</w:t>
      </w:r>
      <w:r w:rsidRPr="00D20F1D">
        <w:rPr>
          <w:bCs/>
          <w:sz w:val="28"/>
          <w:szCs w:val="28"/>
          <w:lang w:val="ru-RU"/>
        </w:rPr>
        <w:t xml:space="preserve"> млн</w:t>
      </w:r>
      <w:r w:rsidRPr="00D20F1D">
        <w:rPr>
          <w:bCs/>
          <w:sz w:val="28"/>
          <w:szCs w:val="28"/>
        </w:rPr>
        <w:t>.</w:t>
      </w:r>
      <w:r w:rsidRPr="00D20F1D">
        <w:rPr>
          <w:bCs/>
          <w:sz w:val="28"/>
          <w:szCs w:val="28"/>
          <w:lang w:val="ru-RU"/>
        </w:rPr>
        <w:t xml:space="preserve"> </w:t>
      </w:r>
      <w:r w:rsidRPr="00D20F1D">
        <w:rPr>
          <w:bCs/>
          <w:sz w:val="28"/>
          <w:szCs w:val="28"/>
        </w:rPr>
        <w:t>тенге</w:t>
      </w:r>
      <w:r w:rsidRPr="00D20F1D">
        <w:rPr>
          <w:bCs/>
          <w:sz w:val="28"/>
          <w:szCs w:val="28"/>
          <w:lang w:val="ru-RU"/>
        </w:rPr>
        <w:t>.</w:t>
      </w:r>
    </w:p>
    <w:p w14:paraId="4558F27E" w14:textId="6647E066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2.</w:t>
      </w:r>
      <w:r w:rsidRPr="009D66C5">
        <w:rPr>
          <w:bCs/>
          <w:sz w:val="28"/>
          <w:szCs w:val="28"/>
          <w:lang w:val="ru-RU"/>
        </w:rPr>
        <w:t xml:space="preserve"> От оказания услуг подъездных путей </w:t>
      </w:r>
      <w:r w:rsidRPr="009D66C5">
        <w:rPr>
          <w:bCs/>
          <w:sz w:val="28"/>
          <w:szCs w:val="28"/>
        </w:rPr>
        <w:t>за отчетный период составил</w:t>
      </w:r>
      <w:r w:rsidRPr="009D66C5">
        <w:rPr>
          <w:bCs/>
          <w:sz w:val="28"/>
          <w:szCs w:val="28"/>
          <w:lang w:val="ru-RU"/>
        </w:rPr>
        <w:t>и</w:t>
      </w:r>
      <w:r w:rsidRPr="009D66C5">
        <w:rPr>
          <w:bCs/>
          <w:sz w:val="28"/>
          <w:szCs w:val="28"/>
        </w:rPr>
        <w:t xml:space="preserve"> </w:t>
      </w:r>
      <w:r w:rsidR="002A23A7" w:rsidRPr="009D66C5">
        <w:rPr>
          <w:bCs/>
          <w:sz w:val="28"/>
          <w:szCs w:val="28"/>
          <w:lang w:val="ru-RU"/>
        </w:rPr>
        <w:t>8</w:t>
      </w:r>
      <w:r w:rsidR="00AA3563" w:rsidRPr="009D66C5">
        <w:rPr>
          <w:bCs/>
          <w:sz w:val="28"/>
          <w:szCs w:val="28"/>
          <w:lang w:val="ru-RU"/>
        </w:rPr>
        <w:t>4</w:t>
      </w:r>
      <w:r w:rsidRPr="009D66C5">
        <w:rPr>
          <w:bCs/>
          <w:sz w:val="28"/>
          <w:szCs w:val="28"/>
          <w:lang w:val="ru-RU"/>
        </w:rPr>
        <w:t xml:space="preserve"> млн</w:t>
      </w:r>
      <w:r w:rsidRPr="009D66C5">
        <w:rPr>
          <w:bCs/>
          <w:sz w:val="28"/>
          <w:szCs w:val="28"/>
        </w:rPr>
        <w:t>.</w:t>
      </w:r>
      <w:r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</w:rPr>
        <w:t>тенге</w:t>
      </w:r>
      <w:r w:rsidRPr="009D66C5">
        <w:rPr>
          <w:bCs/>
          <w:sz w:val="28"/>
          <w:szCs w:val="28"/>
          <w:lang w:val="ru-RU"/>
        </w:rPr>
        <w:t>.</w:t>
      </w:r>
    </w:p>
    <w:p w14:paraId="005BA7DD" w14:textId="4B688209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  <w:r w:rsidRPr="009D66C5">
        <w:rPr>
          <w:b/>
          <w:bCs/>
          <w:sz w:val="28"/>
          <w:szCs w:val="28"/>
          <w:lang w:val="ru-RU"/>
        </w:rPr>
        <w:t>3.</w:t>
      </w:r>
      <w:r w:rsidRPr="009D66C5">
        <w:rPr>
          <w:bCs/>
          <w:sz w:val="28"/>
          <w:szCs w:val="28"/>
          <w:lang w:val="ru-RU"/>
        </w:rPr>
        <w:t xml:space="preserve"> От оказания услуг по передаче электрической энергии</w:t>
      </w:r>
      <w:r w:rsidRPr="009D66C5">
        <w:rPr>
          <w:bCs/>
          <w:sz w:val="28"/>
          <w:szCs w:val="28"/>
        </w:rPr>
        <w:t xml:space="preserve"> за отчетный период составил</w:t>
      </w:r>
      <w:r w:rsidRPr="009D66C5">
        <w:rPr>
          <w:bCs/>
          <w:sz w:val="28"/>
          <w:szCs w:val="28"/>
          <w:lang w:val="ru-RU"/>
        </w:rPr>
        <w:t>и</w:t>
      </w:r>
      <w:r w:rsidRPr="009D66C5">
        <w:rPr>
          <w:bCs/>
          <w:sz w:val="28"/>
          <w:szCs w:val="28"/>
        </w:rPr>
        <w:t xml:space="preserve"> </w:t>
      </w:r>
      <w:r w:rsidR="00AA3563" w:rsidRPr="009D66C5">
        <w:rPr>
          <w:bCs/>
          <w:sz w:val="28"/>
          <w:szCs w:val="28"/>
          <w:lang w:val="ru-RU"/>
        </w:rPr>
        <w:t xml:space="preserve">3 </w:t>
      </w:r>
      <w:r w:rsidR="002A23A7" w:rsidRPr="009D66C5">
        <w:rPr>
          <w:bCs/>
          <w:sz w:val="28"/>
          <w:szCs w:val="28"/>
          <w:lang w:val="ru-RU"/>
        </w:rPr>
        <w:t>496</w:t>
      </w:r>
      <w:r w:rsidRPr="009D66C5">
        <w:rPr>
          <w:bCs/>
          <w:sz w:val="28"/>
          <w:szCs w:val="28"/>
          <w:lang w:val="ru-RU"/>
        </w:rPr>
        <w:t> млн</w:t>
      </w:r>
      <w:r w:rsidRPr="009D66C5">
        <w:rPr>
          <w:bCs/>
          <w:sz w:val="28"/>
          <w:szCs w:val="28"/>
        </w:rPr>
        <w:t>.</w:t>
      </w:r>
      <w:r w:rsidRPr="009D66C5">
        <w:rPr>
          <w:bCs/>
          <w:sz w:val="28"/>
          <w:szCs w:val="28"/>
          <w:lang w:val="ru-RU"/>
        </w:rPr>
        <w:t xml:space="preserve"> </w:t>
      </w:r>
      <w:r w:rsidRPr="009D66C5">
        <w:rPr>
          <w:bCs/>
          <w:sz w:val="28"/>
          <w:szCs w:val="28"/>
        </w:rPr>
        <w:t>тенге</w:t>
      </w:r>
      <w:r w:rsidRPr="009D66C5">
        <w:rPr>
          <w:bCs/>
          <w:sz w:val="28"/>
          <w:szCs w:val="28"/>
          <w:lang w:val="ru-RU"/>
        </w:rPr>
        <w:t>.</w:t>
      </w:r>
    </w:p>
    <w:p w14:paraId="574385D3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sz w:val="28"/>
          <w:szCs w:val="28"/>
          <w:lang w:val="ru-RU"/>
        </w:rPr>
      </w:pPr>
    </w:p>
    <w:p w14:paraId="5471E6DD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sz w:val="28"/>
          <w:szCs w:val="28"/>
          <w:lang w:val="ru-RU"/>
        </w:rPr>
      </w:pPr>
      <w:r w:rsidRPr="009D66C5">
        <w:rPr>
          <w:b/>
          <w:sz w:val="28"/>
          <w:szCs w:val="28"/>
          <w:lang w:val="ru-RU"/>
        </w:rPr>
        <w:t>Финансовый результат</w:t>
      </w:r>
    </w:p>
    <w:p w14:paraId="30B29423" w14:textId="62DAFC19" w:rsidR="008F0F30" w:rsidRPr="00D20F1D" w:rsidRDefault="008F0F30" w:rsidP="009D66C5">
      <w:pPr>
        <w:pStyle w:val="3"/>
        <w:spacing w:after="0"/>
        <w:ind w:left="0" w:firstLine="567"/>
        <w:jc w:val="both"/>
        <w:rPr>
          <w:bCs/>
          <w:color w:val="000000" w:themeColor="text1"/>
          <w:sz w:val="28"/>
          <w:szCs w:val="28"/>
          <w:lang w:val="ru-RU"/>
        </w:rPr>
      </w:pPr>
      <w:r w:rsidRPr="009D66C5">
        <w:rPr>
          <w:bCs/>
          <w:color w:val="000000" w:themeColor="text1"/>
          <w:sz w:val="28"/>
          <w:szCs w:val="28"/>
          <w:lang w:val="ru-RU"/>
        </w:rPr>
        <w:t xml:space="preserve">Убыток, полученный от оказания услуг монопольной деятельности Компании, </w:t>
      </w:r>
      <w:r w:rsidRPr="009D66C5">
        <w:rPr>
          <w:bCs/>
          <w:color w:val="000000" w:themeColor="text1"/>
          <w:sz w:val="28"/>
          <w:szCs w:val="28"/>
        </w:rPr>
        <w:t>всего за отчетный период составил</w:t>
      </w:r>
      <w:r w:rsidRPr="009D66C5">
        <w:rPr>
          <w:bCs/>
          <w:color w:val="000000" w:themeColor="text1"/>
          <w:sz w:val="28"/>
          <w:szCs w:val="28"/>
          <w:lang w:val="ru-RU"/>
        </w:rPr>
        <w:t>а </w:t>
      </w:r>
      <w:r w:rsidR="002A23A7" w:rsidRPr="00D20F1D">
        <w:rPr>
          <w:bCs/>
          <w:color w:val="000000" w:themeColor="text1"/>
          <w:sz w:val="28"/>
          <w:szCs w:val="28"/>
          <w:lang w:val="ru-RU"/>
        </w:rPr>
        <w:t>54 1</w:t>
      </w:r>
      <w:r w:rsidR="00D20F1D" w:rsidRPr="00D20F1D">
        <w:rPr>
          <w:bCs/>
          <w:color w:val="000000" w:themeColor="text1"/>
          <w:sz w:val="28"/>
          <w:szCs w:val="28"/>
          <w:lang w:val="ru-RU"/>
        </w:rPr>
        <w:t>0</w:t>
      </w:r>
      <w:r w:rsidR="002A23A7" w:rsidRPr="00D20F1D">
        <w:rPr>
          <w:bCs/>
          <w:color w:val="000000" w:themeColor="text1"/>
          <w:sz w:val="28"/>
          <w:szCs w:val="28"/>
          <w:lang w:val="ru-RU"/>
        </w:rPr>
        <w:t>4</w:t>
      </w:r>
      <w:r w:rsidRPr="00D20F1D">
        <w:rPr>
          <w:bCs/>
          <w:color w:val="000000" w:themeColor="text1"/>
          <w:sz w:val="28"/>
          <w:szCs w:val="28"/>
          <w:lang w:val="ru-RU"/>
        </w:rPr>
        <w:t xml:space="preserve"> млн</w:t>
      </w:r>
      <w:r w:rsidRPr="00D20F1D">
        <w:rPr>
          <w:bCs/>
          <w:color w:val="000000" w:themeColor="text1"/>
          <w:sz w:val="28"/>
          <w:szCs w:val="28"/>
        </w:rPr>
        <w:t>. тенге, в том числе:</w:t>
      </w:r>
    </w:p>
    <w:p w14:paraId="4DE9D31D" w14:textId="0EDC577D" w:rsidR="008F0F30" w:rsidRPr="009D66C5" w:rsidRDefault="008F0F30" w:rsidP="009D66C5">
      <w:pPr>
        <w:pStyle w:val="3"/>
        <w:spacing w:after="0"/>
        <w:ind w:left="0" w:firstLine="567"/>
        <w:jc w:val="both"/>
        <w:rPr>
          <w:bCs/>
          <w:color w:val="000000" w:themeColor="text1"/>
          <w:sz w:val="28"/>
          <w:szCs w:val="28"/>
          <w:lang w:val="ru-RU"/>
        </w:rPr>
      </w:pPr>
      <w:r w:rsidRPr="00D20F1D">
        <w:rPr>
          <w:b/>
          <w:bCs/>
          <w:color w:val="000000" w:themeColor="text1"/>
          <w:sz w:val="28"/>
          <w:szCs w:val="28"/>
          <w:lang w:val="ru-RU"/>
        </w:rPr>
        <w:t>1.</w:t>
      </w:r>
      <w:r w:rsidRPr="00D20F1D">
        <w:rPr>
          <w:bCs/>
          <w:color w:val="000000" w:themeColor="text1"/>
          <w:sz w:val="28"/>
          <w:szCs w:val="28"/>
        </w:rPr>
        <w:t xml:space="preserve"> </w:t>
      </w:r>
      <w:r w:rsidRPr="00D20F1D">
        <w:rPr>
          <w:bCs/>
          <w:color w:val="000000" w:themeColor="text1"/>
          <w:sz w:val="28"/>
          <w:szCs w:val="28"/>
          <w:lang w:val="ru-RU"/>
        </w:rPr>
        <w:t>От оказания услуг МЖС</w:t>
      </w:r>
      <w:r w:rsidRPr="00D20F1D">
        <w:rPr>
          <w:bCs/>
          <w:color w:val="000000" w:themeColor="text1"/>
          <w:sz w:val="28"/>
          <w:szCs w:val="28"/>
        </w:rPr>
        <w:t xml:space="preserve"> </w:t>
      </w:r>
      <w:r w:rsidRPr="00D20F1D">
        <w:rPr>
          <w:bCs/>
          <w:color w:val="000000" w:themeColor="text1"/>
          <w:sz w:val="28"/>
          <w:szCs w:val="28"/>
          <w:lang w:val="ru-RU"/>
        </w:rPr>
        <w:t>составила (</w:t>
      </w:r>
      <w:r w:rsidR="002A23A7" w:rsidRPr="00D20F1D">
        <w:rPr>
          <w:bCs/>
          <w:color w:val="000000" w:themeColor="text1"/>
          <w:sz w:val="28"/>
          <w:szCs w:val="28"/>
          <w:lang w:val="ru-RU"/>
        </w:rPr>
        <w:t xml:space="preserve">53 </w:t>
      </w:r>
      <w:r w:rsidR="00D20F1D" w:rsidRPr="00D20F1D">
        <w:rPr>
          <w:bCs/>
          <w:color w:val="000000" w:themeColor="text1"/>
          <w:sz w:val="28"/>
          <w:szCs w:val="28"/>
          <w:lang w:val="ru-RU"/>
        </w:rPr>
        <w:t>078</w:t>
      </w:r>
      <w:r w:rsidRPr="00D20F1D">
        <w:rPr>
          <w:bCs/>
          <w:color w:val="000000" w:themeColor="text1"/>
          <w:sz w:val="28"/>
          <w:szCs w:val="28"/>
          <w:lang w:val="ru-RU"/>
        </w:rPr>
        <w:t>) млн</w:t>
      </w:r>
      <w:r w:rsidRPr="009D66C5">
        <w:rPr>
          <w:bCs/>
          <w:color w:val="000000" w:themeColor="text1"/>
          <w:sz w:val="28"/>
          <w:szCs w:val="28"/>
        </w:rPr>
        <w:t>. тенге</w:t>
      </w:r>
      <w:r w:rsidRPr="009D66C5">
        <w:rPr>
          <w:bCs/>
          <w:color w:val="000000" w:themeColor="text1"/>
          <w:sz w:val="28"/>
          <w:szCs w:val="28"/>
          <w:lang w:val="ru-RU"/>
        </w:rPr>
        <w:t>.</w:t>
      </w:r>
    </w:p>
    <w:p w14:paraId="1E54D58E" w14:textId="04ECB808" w:rsidR="00D93FA2" w:rsidRPr="009D66C5" w:rsidRDefault="008F0F30" w:rsidP="009D66C5">
      <w:pPr>
        <w:pStyle w:val="3"/>
        <w:spacing w:after="0"/>
        <w:ind w:left="0" w:firstLine="567"/>
        <w:jc w:val="both"/>
        <w:rPr>
          <w:color w:val="000000" w:themeColor="text1"/>
          <w:sz w:val="28"/>
          <w:szCs w:val="28"/>
          <w:lang w:val="ru-RU"/>
        </w:rPr>
      </w:pPr>
      <w:r w:rsidRPr="009D66C5">
        <w:rPr>
          <w:b/>
          <w:bCs/>
          <w:color w:val="000000" w:themeColor="text1"/>
          <w:sz w:val="28"/>
          <w:szCs w:val="28"/>
          <w:lang w:val="ru-RU"/>
        </w:rPr>
        <w:t>2</w:t>
      </w:r>
      <w:r w:rsidR="00D93FA2" w:rsidRPr="009D66C5">
        <w:rPr>
          <w:b/>
          <w:bCs/>
          <w:color w:val="000000" w:themeColor="text1"/>
          <w:sz w:val="28"/>
          <w:szCs w:val="28"/>
          <w:lang w:val="ru-RU"/>
        </w:rPr>
        <w:t>.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 Убыток</w:t>
      </w:r>
      <w:r w:rsidR="00D93FA2" w:rsidRPr="009D66C5">
        <w:rPr>
          <w:bCs/>
          <w:color w:val="000000" w:themeColor="text1"/>
          <w:sz w:val="28"/>
          <w:szCs w:val="28"/>
        </w:rPr>
        <w:t xml:space="preserve"> 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от оказания услуг подъездных путей </w:t>
      </w:r>
      <w:r w:rsidR="00AA3563" w:rsidRPr="009D66C5">
        <w:rPr>
          <w:bCs/>
          <w:color w:val="000000" w:themeColor="text1"/>
          <w:sz w:val="28"/>
          <w:szCs w:val="28"/>
          <w:lang w:val="ru-RU"/>
        </w:rPr>
        <w:t>(</w:t>
      </w:r>
      <w:r w:rsidR="002A23A7" w:rsidRPr="009D66C5">
        <w:rPr>
          <w:bCs/>
          <w:color w:val="000000" w:themeColor="text1"/>
          <w:sz w:val="28"/>
          <w:szCs w:val="28"/>
          <w:lang w:val="ru-RU"/>
        </w:rPr>
        <w:t>30</w:t>
      </w:r>
      <w:r w:rsidR="00AA3563" w:rsidRPr="009D66C5">
        <w:rPr>
          <w:bCs/>
          <w:color w:val="000000" w:themeColor="text1"/>
          <w:sz w:val="28"/>
          <w:szCs w:val="28"/>
          <w:lang w:val="ru-RU"/>
        </w:rPr>
        <w:t>)</w:t>
      </w:r>
      <w:r w:rsidR="00D93FA2" w:rsidRPr="009D66C5">
        <w:rPr>
          <w:bCs/>
          <w:color w:val="000000" w:themeColor="text1"/>
          <w:sz w:val="28"/>
          <w:szCs w:val="28"/>
          <w:lang w:val="ru-RU"/>
        </w:rPr>
        <w:t xml:space="preserve"> млн.</w:t>
      </w:r>
      <w:r w:rsidR="00D93FA2" w:rsidRPr="009D66C5">
        <w:rPr>
          <w:bCs/>
          <w:color w:val="000000" w:themeColor="text1"/>
          <w:sz w:val="28"/>
          <w:szCs w:val="28"/>
        </w:rPr>
        <w:t xml:space="preserve"> тенге</w:t>
      </w:r>
      <w:r w:rsidR="00DE537D" w:rsidRPr="009D66C5">
        <w:rPr>
          <w:color w:val="000000" w:themeColor="text1"/>
          <w:sz w:val="28"/>
          <w:szCs w:val="28"/>
          <w:lang w:val="ru-RU"/>
        </w:rPr>
        <w:t>.</w:t>
      </w:r>
    </w:p>
    <w:p w14:paraId="37917025" w14:textId="24403DE0" w:rsidR="00D93FA2" w:rsidRPr="009D66C5" w:rsidRDefault="00D93FA2" w:rsidP="009D66C5">
      <w:pPr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ru-RU"/>
        </w:rPr>
        <w:t>3.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О</w:t>
      </w:r>
      <w:r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т оказания услуг по передаче электрической энергии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A3563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(</w:t>
      </w:r>
      <w:r w:rsidR="002A23A7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996</w:t>
      </w:r>
      <w:r w:rsidR="00AA3563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>)</w:t>
      </w:r>
      <w:r w:rsidR="00DE537D" w:rsidRPr="009D66C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ru-RU"/>
        </w:rPr>
        <w:t xml:space="preserve"> млн. тенге.</w:t>
      </w:r>
    </w:p>
    <w:p w14:paraId="618800D3" w14:textId="77777777" w:rsidR="008F0F30" w:rsidRPr="009D66C5" w:rsidRDefault="008F0F30" w:rsidP="009D66C5">
      <w:pPr>
        <w:pStyle w:val="3"/>
        <w:spacing w:after="0"/>
        <w:ind w:left="0" w:firstLine="567"/>
        <w:jc w:val="both"/>
        <w:rPr>
          <w:b/>
          <w:bCs/>
          <w:i/>
          <w:iCs/>
          <w:color w:val="000000" w:themeColor="text1"/>
          <w:sz w:val="28"/>
          <w:szCs w:val="28"/>
          <w:u w:val="single" w:color="01154D"/>
          <w:lang w:val="ru-RU"/>
        </w:rPr>
      </w:pPr>
    </w:p>
    <w:p w14:paraId="39948023" w14:textId="43922792" w:rsidR="008F0F30" w:rsidRPr="009D66C5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4.Отчет об исполнении тари</w:t>
      </w:r>
      <w:r w:rsidR="009959CD"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фной сметы на услуги МЖС за 202</w:t>
      </w:r>
      <w:r w:rsidR="002A23A7"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>3</w:t>
      </w: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color="01154D"/>
          <w:lang w:val="ru-RU"/>
        </w:rPr>
        <w:t xml:space="preserve"> год</w:t>
      </w:r>
    </w:p>
    <w:p w14:paraId="11047E42" w14:textId="2941D973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Тарифной сметой на услуги МЖС утверждены на 202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3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год: </w:t>
      </w:r>
    </w:p>
    <w:p w14:paraId="746C5EA6" w14:textId="525B7971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производственные затраты –     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348 377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7C77FABD" w14:textId="36AA90B6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расходы периода –                      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42 703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млн. тенге;</w:t>
      </w:r>
    </w:p>
    <w:p w14:paraId="21DB2F5B" w14:textId="42F82158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всего затрат –                              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391 080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70B471EC" w14:textId="7489296D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 доходы –                                      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449 610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55836FF5" w14:textId="77777777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том числе:</w:t>
      </w:r>
    </w:p>
    <w:p w14:paraId="2E6AE259" w14:textId="43DA060B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-ВБП                                             </w:t>
      </w:r>
      <w:r w:rsidR="00CA4BCA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10 70</w:t>
      </w:r>
      <w:r w:rsidR="00477171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7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                                 </w:t>
      </w:r>
    </w:p>
    <w:p w14:paraId="557A29BA" w14:textId="2E68DA23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-прибыль –                                    </w:t>
      </w:r>
      <w:r w:rsidR="00CA4BCA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58 530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тенге;</w:t>
      </w:r>
    </w:p>
    <w:p w14:paraId="4A9FA3A7" w14:textId="5014E772" w:rsidR="009959CD" w:rsidRPr="009D66C5" w:rsidRDefault="009959CD" w:rsidP="009D66C5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-грузооборот –                                19</w:t>
      </w:r>
      <w:r w:rsidR="002A23A7"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>7 593</w:t>
      </w:r>
      <w:r w:rsidRPr="009D66C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млн. т-км.</w:t>
      </w:r>
    </w:p>
    <w:p w14:paraId="69562AC3" w14:textId="77777777" w:rsidR="00003338" w:rsidRPr="009D66C5" w:rsidRDefault="00003338" w:rsidP="009D66C5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E4A2BB2" w14:textId="77777777" w:rsidR="004E2385" w:rsidRPr="00062BCE" w:rsidRDefault="004E2385" w:rsidP="009D66C5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062BCE">
        <w:rPr>
          <w:rFonts w:eastAsiaTheme="minorHAnsi"/>
          <w:sz w:val="28"/>
          <w:szCs w:val="28"/>
          <w:lang w:val="ru-RU" w:eastAsia="en-US"/>
        </w:rPr>
        <w:t>На 2023 год в факте тарифной сметы  МЖС:</w:t>
      </w:r>
    </w:p>
    <w:p w14:paraId="4E7AFB78" w14:textId="35F3F5B3" w:rsidR="004E2385" w:rsidRPr="00062BCE" w:rsidRDefault="004E2385" w:rsidP="009D66C5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062BCE">
        <w:rPr>
          <w:rFonts w:eastAsiaTheme="minorHAnsi"/>
          <w:sz w:val="28"/>
          <w:szCs w:val="28"/>
          <w:lang w:val="ru-RU" w:eastAsia="en-US"/>
        </w:rPr>
        <w:t>Фактические затраты Компании по предоставлению регулируемых услуг МЖС в 202</w:t>
      </w:r>
      <w:r w:rsidR="00704D1F" w:rsidRPr="00062BCE">
        <w:rPr>
          <w:rFonts w:eastAsiaTheme="minorHAnsi"/>
          <w:sz w:val="28"/>
          <w:szCs w:val="28"/>
          <w:lang w:val="ru-RU" w:eastAsia="en-US"/>
        </w:rPr>
        <w:t>3</w:t>
      </w:r>
      <w:r w:rsidRPr="00062BCE">
        <w:rPr>
          <w:rFonts w:eastAsiaTheme="minorHAnsi"/>
          <w:sz w:val="28"/>
          <w:szCs w:val="28"/>
          <w:lang w:val="ru-RU" w:eastAsia="en-US"/>
        </w:rPr>
        <w:t xml:space="preserve"> году сложились в сумме 526 6</w:t>
      </w:r>
      <w:r w:rsidR="00D20F1D" w:rsidRPr="00062BCE">
        <w:rPr>
          <w:rFonts w:eastAsiaTheme="minorHAnsi"/>
          <w:sz w:val="28"/>
          <w:szCs w:val="28"/>
          <w:lang w:val="ru-RU" w:eastAsia="en-US"/>
        </w:rPr>
        <w:t>4</w:t>
      </w:r>
      <w:r w:rsidRPr="00062BCE">
        <w:rPr>
          <w:rFonts w:eastAsiaTheme="minorHAnsi"/>
          <w:sz w:val="28"/>
          <w:szCs w:val="28"/>
          <w:lang w:val="ru-RU" w:eastAsia="en-US"/>
        </w:rPr>
        <w:t>2 млн. тенге.</w:t>
      </w:r>
    </w:p>
    <w:p w14:paraId="5F0E0016" w14:textId="1D4189B5" w:rsidR="004E2385" w:rsidRPr="00062BCE" w:rsidRDefault="004E2385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062BCE">
        <w:rPr>
          <w:rFonts w:ascii="Times New Roman" w:hAnsi="Times New Roman" w:cs="Times New Roman"/>
          <w:sz w:val="28"/>
          <w:szCs w:val="28"/>
          <w:u w:color="01154D"/>
          <w:lang w:val="ru-RU"/>
        </w:rPr>
        <w:lastRenderedPageBreak/>
        <w:t>Производственные затраты в сумме 439 9</w:t>
      </w:r>
      <w:r w:rsidR="00D20F1D" w:rsidRPr="00062BCE">
        <w:rPr>
          <w:rFonts w:ascii="Times New Roman" w:hAnsi="Times New Roman" w:cs="Times New Roman"/>
          <w:sz w:val="28"/>
          <w:szCs w:val="28"/>
          <w:u w:color="01154D"/>
          <w:lang w:val="ru-RU"/>
        </w:rPr>
        <w:t>1</w:t>
      </w:r>
      <w:r w:rsidRPr="00062BCE">
        <w:rPr>
          <w:rFonts w:ascii="Times New Roman" w:hAnsi="Times New Roman" w:cs="Times New Roman"/>
          <w:sz w:val="28"/>
          <w:szCs w:val="28"/>
          <w:u w:color="01154D"/>
          <w:lang w:val="ru-RU"/>
        </w:rPr>
        <w:t>8 млн. тенге, в том числе:</w:t>
      </w:r>
    </w:p>
    <w:p w14:paraId="37262F7F" w14:textId="77777777" w:rsidR="004E2385" w:rsidRPr="00062BCE" w:rsidRDefault="004E2385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F8FD5E" w14:textId="77777777" w:rsidR="004E2385" w:rsidRPr="00062BCE" w:rsidRDefault="004E2385" w:rsidP="009D66C5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«Материалы».</w:t>
      </w:r>
      <w:r w:rsidRPr="00062BCE">
        <w:rPr>
          <w:sz w:val="28"/>
          <w:szCs w:val="28"/>
        </w:rPr>
        <w:t xml:space="preserve"> Исполнение 21 601 млн. тенге. </w:t>
      </w:r>
    </w:p>
    <w:p w14:paraId="411CDE02" w14:textId="77777777" w:rsidR="004E2385" w:rsidRPr="00062BCE" w:rsidRDefault="004E2385" w:rsidP="009D66C5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2BCE">
        <w:rPr>
          <w:i/>
          <w:iCs/>
          <w:sz w:val="28"/>
          <w:szCs w:val="28"/>
        </w:rPr>
        <w:t>Проведены ремонтные работы пути, устранены дефекты, выявленные при комиссионных весенне-осенних, внеочередных осмотрах пути с целью обеспечения безопасности движения</w:t>
      </w:r>
      <w:r w:rsidRPr="00062BCE">
        <w:rPr>
          <w:sz w:val="28"/>
          <w:szCs w:val="28"/>
        </w:rPr>
        <w:t>.</w:t>
      </w:r>
    </w:p>
    <w:p w14:paraId="0B7DCAEC" w14:textId="77777777" w:rsidR="004E2385" w:rsidRPr="00062BCE" w:rsidRDefault="004E2385" w:rsidP="009D66C5">
      <w:pPr>
        <w:pStyle w:val="a5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73DE6B31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«Топливо».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5 737 млн. тенге,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увеличение произошло за счет роста цены  по дизельному топливу, бензину и углю, при этом экономия в объеме по дизельному топливу, бензину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C31E21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79E0B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«Электроэнергия».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 5 015  млн. тенге,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увеличение произошло за счет роста цены, при этом экономия в объеме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02705D5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05EF4" w14:textId="399E67AD" w:rsidR="004E2385" w:rsidRPr="00B61630" w:rsidRDefault="004E2385" w:rsidP="00B6163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«Заработная плата».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167 689 млн. тенге. </w:t>
      </w:r>
      <w:bookmarkStart w:id="1" w:name="_Hlk132118122"/>
    </w:p>
    <w:p w14:paraId="0EB79188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1"/>
    <w:p w14:paraId="3356CE8C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«Социальный налог».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20 297  млн. тенге.</w:t>
      </w:r>
    </w:p>
    <w:p w14:paraId="243E96EB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3088D8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«ОСМС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»  факт составил 4 960 млн. тенге.</w:t>
      </w:r>
    </w:p>
    <w:p w14:paraId="30FE8748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98B391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«Амортизация основных средств и нематериальных активов».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 54 365  млн. тенге. </w:t>
      </w:r>
    </w:p>
    <w:p w14:paraId="102D966C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3BFAF4" w14:textId="14B9D455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Элемент «Ремонт». 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Факт составил 2 536 млн. тенге</w:t>
      </w:r>
      <w:r w:rsidR="0038628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8628C" w:rsidRP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увеличение произошло за счет</w:t>
      </w:r>
      <w:r w:rsidR="0038628C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роведен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ия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планового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деповско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го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ремонт</w:t>
      </w:r>
      <w:r w:rsidR="0038628C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спецтехники (платформ, снегоочистителей, цистерн, ХДВ) и капитальн</w:t>
      </w:r>
      <w:r w:rsidR="002945A7">
        <w:rPr>
          <w:rFonts w:ascii="Times New Roman" w:hAnsi="Times New Roman" w:cs="Times New Roman"/>
          <w:i/>
          <w:iCs/>
          <w:sz w:val="28"/>
          <w:szCs w:val="28"/>
          <w:lang w:val="ru-RU"/>
        </w:rPr>
        <w:t>ого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ремонт</w:t>
      </w:r>
      <w:r w:rsidR="002945A7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спецподвижного состава, машин и механизмов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171764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E92C5E" w14:textId="72EEE74F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 xml:space="preserve"> Элемент «Оплата работ и услуг».</w:t>
      </w:r>
      <w:r w:rsidRPr="00062BCE">
        <w:rPr>
          <w:sz w:val="28"/>
          <w:szCs w:val="28"/>
        </w:rPr>
        <w:t xml:space="preserve"> Исполнение 118 6</w:t>
      </w:r>
      <w:r w:rsidR="00D20F1D" w:rsidRPr="00062BCE">
        <w:rPr>
          <w:sz w:val="28"/>
          <w:szCs w:val="28"/>
        </w:rPr>
        <w:t>5</w:t>
      </w:r>
      <w:r w:rsidRPr="00062BCE">
        <w:rPr>
          <w:sz w:val="28"/>
          <w:szCs w:val="28"/>
        </w:rPr>
        <w:t xml:space="preserve">3 млн. тенге. </w:t>
      </w:r>
    </w:p>
    <w:p w14:paraId="52581892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i/>
          <w:iCs/>
          <w:sz w:val="28"/>
          <w:szCs w:val="28"/>
        </w:rPr>
        <w:t>По факту отражены услуги по предоставлению локомотивной тяги в хозяйственном движении, расходы УПП, расходы по техническому обслуживанию основных средств и сопровождению информационных систем, коммунальные услуги</w:t>
      </w:r>
      <w:r w:rsidRPr="00062BCE">
        <w:rPr>
          <w:sz w:val="28"/>
          <w:szCs w:val="28"/>
        </w:rPr>
        <w:t>.</w:t>
      </w:r>
      <w:r w:rsidRPr="00062BCE">
        <w:rPr>
          <w:sz w:val="28"/>
          <w:szCs w:val="28"/>
        </w:rPr>
        <w:tab/>
      </w:r>
    </w:p>
    <w:p w14:paraId="18B36DC9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36877C35" w14:textId="5163A5CE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 xml:space="preserve"> Элемент «Прочие расходы».</w:t>
      </w:r>
      <w:r w:rsidRPr="00062BCE">
        <w:rPr>
          <w:sz w:val="28"/>
          <w:szCs w:val="28"/>
        </w:rPr>
        <w:t xml:space="preserve"> Исполнение 12 9</w:t>
      </w:r>
      <w:r w:rsidR="00D20F1D" w:rsidRPr="00062BCE">
        <w:rPr>
          <w:sz w:val="28"/>
          <w:szCs w:val="28"/>
        </w:rPr>
        <w:t>27</w:t>
      </w:r>
      <w:r w:rsidRPr="00062BCE">
        <w:rPr>
          <w:sz w:val="28"/>
          <w:szCs w:val="28"/>
        </w:rPr>
        <w:t xml:space="preserve"> млн. тенге. </w:t>
      </w:r>
      <w:r w:rsidRPr="00062BCE">
        <w:rPr>
          <w:i/>
          <w:iCs/>
          <w:sz w:val="28"/>
          <w:szCs w:val="28"/>
        </w:rPr>
        <w:t>Отражены расходы по ВЖДО, страхованию ГПО, доставку работников к месту работы и подготовке кадров</w:t>
      </w:r>
      <w:r w:rsidRPr="00062BCE">
        <w:rPr>
          <w:sz w:val="28"/>
          <w:szCs w:val="28"/>
        </w:rPr>
        <w:t>.</w:t>
      </w:r>
    </w:p>
    <w:p w14:paraId="06B4BBF9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5E9BF434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«Услуги по маневровой работе</w:t>
      </w:r>
      <w:r w:rsidRPr="00062BCE">
        <w:rPr>
          <w:sz w:val="28"/>
          <w:szCs w:val="28"/>
        </w:rPr>
        <w:t>». Исполнение 26 138 млн. тенге.</w:t>
      </w:r>
    </w:p>
    <w:p w14:paraId="1FF46A4D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7E9EC5AA" w14:textId="462FD01E" w:rsidR="004E2385" w:rsidRPr="00062BCE" w:rsidRDefault="004E2385" w:rsidP="009D66C5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Фактические затраты по расходам периода составили 86 7</w:t>
      </w:r>
      <w:r w:rsidR="00D20F1D"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24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млн. 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тенге.</w:t>
      </w:r>
    </w:p>
    <w:p w14:paraId="2C1205B7" w14:textId="77777777" w:rsidR="004E2385" w:rsidRPr="00062BCE" w:rsidRDefault="004E2385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u w:color="01154D"/>
          <w:lang w:val="ru-RU"/>
        </w:rPr>
      </w:pPr>
      <w:r w:rsidRPr="00062BCE">
        <w:rPr>
          <w:rFonts w:ascii="Times New Roman" w:hAnsi="Times New Roman" w:cs="Times New Roman"/>
          <w:sz w:val="28"/>
          <w:szCs w:val="28"/>
          <w:u w:color="01154D"/>
          <w:lang w:val="ru-RU"/>
        </w:rPr>
        <w:t xml:space="preserve">В том числе: </w:t>
      </w:r>
    </w:p>
    <w:p w14:paraId="4A721A2B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«Заработная плата».</w:t>
      </w:r>
      <w:r w:rsidRPr="00062BCE">
        <w:rPr>
          <w:sz w:val="28"/>
          <w:szCs w:val="28"/>
        </w:rPr>
        <w:t xml:space="preserve"> Исполнение 21 806  млн. тенге. </w:t>
      </w:r>
    </w:p>
    <w:p w14:paraId="1662B18D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63421E1A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«Социальный налог».</w:t>
      </w:r>
      <w:r w:rsidRPr="00062BCE">
        <w:rPr>
          <w:sz w:val="28"/>
          <w:szCs w:val="28"/>
        </w:rPr>
        <w:t xml:space="preserve">  Исполнение 1 909 млн. тенге. </w:t>
      </w:r>
    </w:p>
    <w:p w14:paraId="7A89A7E7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0DFB4EAB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«ОСМС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»  факт составил 649 млн. тенге.</w:t>
      </w: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14:paraId="7D05B26F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9B54FE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>Элемент «Налоги».</w:t>
      </w:r>
      <w:r w:rsidRPr="00062BCE">
        <w:rPr>
          <w:b/>
          <w:sz w:val="28"/>
          <w:szCs w:val="28"/>
        </w:rPr>
        <w:t xml:space="preserve"> </w:t>
      </w:r>
      <w:r w:rsidRPr="00062BCE">
        <w:rPr>
          <w:sz w:val="28"/>
          <w:szCs w:val="28"/>
        </w:rPr>
        <w:t xml:space="preserve">19 501 млн. тенге. </w:t>
      </w:r>
    </w:p>
    <w:p w14:paraId="08187A1B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2E110B84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  <w:r w:rsidRPr="00062BCE">
        <w:rPr>
          <w:b/>
          <w:sz w:val="28"/>
          <w:szCs w:val="28"/>
          <w:u w:val="single"/>
        </w:rPr>
        <w:t xml:space="preserve">Элемент «Амортизация основных средств и нематериальных активов». </w:t>
      </w:r>
      <w:r w:rsidRPr="00062BCE">
        <w:rPr>
          <w:sz w:val="28"/>
          <w:szCs w:val="28"/>
        </w:rPr>
        <w:t xml:space="preserve">Исполнение 1 601 млн. тенге.  </w:t>
      </w:r>
    </w:p>
    <w:p w14:paraId="5EF39926" w14:textId="77777777" w:rsidR="004E2385" w:rsidRPr="00062BCE" w:rsidRDefault="004E2385" w:rsidP="009D66C5">
      <w:pPr>
        <w:pStyle w:val="a5"/>
        <w:ind w:left="0" w:firstLine="709"/>
        <w:jc w:val="both"/>
        <w:rPr>
          <w:sz w:val="28"/>
          <w:szCs w:val="28"/>
        </w:rPr>
      </w:pPr>
    </w:p>
    <w:p w14:paraId="42472A9C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Элемент «Услуги сторонних организаций».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2 601 млн. тенге. </w:t>
      </w: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Отражены расходы на техобслуживание основных средств, коммунальные услуги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3A7A6A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7702E2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«Ремонт».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Текущий ремонт исполнен на 296 млн. тенге.</w:t>
      </w:r>
    </w:p>
    <w:p w14:paraId="0DB671CB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383C7C" w14:textId="48BE8442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«Аудиторские, консалтинговые и информационные услуги».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Исполнение 6</w:t>
      </w:r>
      <w:r w:rsidR="00D20F1D" w:rsidRPr="00062BCE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</w:p>
    <w:p w14:paraId="27751C51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CC1CE7" w14:textId="2824BD16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«Командировочные расходы».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Исполнение 6</w:t>
      </w:r>
      <w:r w:rsidR="00D20F1D" w:rsidRPr="00062B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62BCE" w:rsidRPr="00062BC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 млн. тенге.</w:t>
      </w:r>
    </w:p>
    <w:p w14:paraId="7B7D9CB6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F1E74F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Элемент «Представительские расходы». 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Исполнение 81 млн. тенге.</w:t>
      </w:r>
    </w:p>
    <w:p w14:paraId="0743787A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718B54" w14:textId="77777777" w:rsidR="004E2385" w:rsidRPr="00062BCE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«Другие расходы».</w:t>
      </w:r>
      <w:r w:rsidRPr="00062B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2 367 млн. тенге.   </w:t>
      </w:r>
    </w:p>
    <w:p w14:paraId="18FAF966" w14:textId="77777777" w:rsidR="004E2385" w:rsidRPr="009D66C5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BCE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Отражены расходы по паспортизации зданий и изготовления актов землепользования, по страхованию ГПО, ВЖДО, заправке оргтехники, подготовке кадров</w:t>
      </w:r>
      <w:r w:rsidRPr="00062B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3E7666" w14:textId="77777777" w:rsidR="004E2385" w:rsidRPr="009D66C5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5117AC" w14:textId="77777777" w:rsidR="004E2385" w:rsidRPr="009D66C5" w:rsidRDefault="004E2385" w:rsidP="009D66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Элемент «Расходы на выплату вознаграждения».</w:t>
      </w:r>
      <w:r w:rsidRPr="009D66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2405FBA0" w14:textId="77777777" w:rsidR="004E2385" w:rsidRPr="009D66C5" w:rsidRDefault="004E2385" w:rsidP="009D66C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34 581 млн. тенге. </w:t>
      </w:r>
    </w:p>
    <w:p w14:paraId="1492F04F" w14:textId="77777777" w:rsidR="004E2385" w:rsidRPr="009D66C5" w:rsidRDefault="004E2385" w:rsidP="009D66C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i/>
          <w:iCs/>
          <w:sz w:val="28"/>
          <w:szCs w:val="28"/>
          <w:lang w:val="ru-RU"/>
        </w:rPr>
        <w:t>В том числе расходы по займам в рамках выпуска еврооблигаций, для модернизации ж/д инфраструктуры и выпуска облигаций на внутреннем рынке, в том числе по проекту «Строительство вторых путей на участке Достык-Моинты».</w:t>
      </w:r>
    </w:p>
    <w:p w14:paraId="6419CF9A" w14:textId="77777777" w:rsidR="004E2385" w:rsidRDefault="004E2385" w:rsidP="009D66C5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eastAsiaTheme="minorEastAsia" w:hAnsi="Times New Roman"/>
          <w:color w:val="auto"/>
          <w:sz w:val="28"/>
          <w:szCs w:val="28"/>
          <w:u w:color="2A4B7E"/>
          <w:lang w:val="kk-KZ" w:eastAsia="en-US"/>
        </w:rPr>
      </w:pPr>
    </w:p>
    <w:p w14:paraId="2C3AAD35" w14:textId="77777777" w:rsidR="00A86A7C" w:rsidRDefault="00A86A7C" w:rsidP="00A86A7C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eastAsiaTheme="minorEastAsia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color w:val="auto"/>
          <w:sz w:val="28"/>
          <w:szCs w:val="28"/>
          <w:lang w:eastAsia="en-US"/>
        </w:rPr>
        <w:t xml:space="preserve">В тарифной смете утверждены расходы в базовом 2021 году в основном на уровне факта 2019 года. Расходы на 2023 год были утверждены с учетом повышения в среднем на 8,2% к 2021 году (2022 год - 4%, 2023 год - 4%).  При этом отмечаем, что по статистическим данным РК индекс потребительских цен </w:t>
      </w:r>
      <w:r>
        <w:rPr>
          <w:rFonts w:ascii="Times New Roman" w:eastAsiaTheme="minorEastAsia" w:hAnsi="Times New Roman"/>
          <w:color w:val="auto"/>
          <w:sz w:val="28"/>
          <w:szCs w:val="28"/>
          <w:lang w:eastAsia="en-US"/>
        </w:rPr>
        <w:lastRenderedPageBreak/>
        <w:t xml:space="preserve">увеличился в среднем </w:t>
      </w:r>
      <w:r>
        <w:rPr>
          <w:rFonts w:ascii="Times New Roman" w:eastAsiaTheme="minorEastAsia" w:hAnsi="Times New Roman"/>
          <w:b/>
          <w:i/>
          <w:color w:val="auto"/>
          <w:sz w:val="28"/>
          <w:szCs w:val="28"/>
          <w:u w:val="single"/>
          <w:lang w:eastAsia="en-US"/>
        </w:rPr>
        <w:t>на 143,2%</w:t>
      </w:r>
      <w:r>
        <w:rPr>
          <w:rFonts w:ascii="Times New Roman" w:eastAsiaTheme="minorEastAsia" w:hAnsi="Times New Roman"/>
          <w:color w:val="auto"/>
          <w:sz w:val="28"/>
          <w:szCs w:val="28"/>
          <w:lang w:eastAsia="en-US"/>
        </w:rPr>
        <w:t xml:space="preserve"> (2021 год – 108,4%, 2022 год – </w:t>
      </w:r>
      <w:r>
        <w:rPr>
          <w:rFonts w:ascii="Times New Roman" w:eastAsiaTheme="minorEastAsia" w:hAnsi="Times New Roman"/>
          <w:color w:val="auto"/>
          <w:sz w:val="28"/>
          <w:szCs w:val="28"/>
          <w:lang w:val="kk-KZ" w:eastAsia="en-US"/>
        </w:rPr>
        <w:t>120,3</w:t>
      </w:r>
      <w:r>
        <w:rPr>
          <w:rFonts w:ascii="Times New Roman" w:eastAsiaTheme="minorEastAsia" w:hAnsi="Times New Roman"/>
          <w:color w:val="auto"/>
          <w:sz w:val="28"/>
          <w:szCs w:val="28"/>
          <w:lang w:eastAsia="en-US"/>
        </w:rPr>
        <w:t xml:space="preserve">%, 2023 год – 9,8%), что повлияло на фактическое исполнение тарифной сметы за 2023 год. </w:t>
      </w:r>
    </w:p>
    <w:p w14:paraId="621392EF" w14:textId="77777777" w:rsidR="00A86A7C" w:rsidRDefault="00A86A7C" w:rsidP="00A86A7C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</w:pPr>
      <w:r w:rsidRPr="00E747C4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>Фактически понесенные расходы превышают плановые на</w:t>
      </w:r>
      <w:r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 35</w:t>
      </w:r>
      <w:r w:rsidRPr="00E747C4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%. Утвержденная тарифная смета не достаточна для покрытия </w:t>
      </w:r>
      <w:r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>фактических расходов</w:t>
      </w:r>
      <w:r w:rsidRPr="00E747C4"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  <w:t xml:space="preserve"> Компании. </w:t>
      </w:r>
    </w:p>
    <w:p w14:paraId="44487EF1" w14:textId="77777777" w:rsidR="00A86A7C" w:rsidRPr="00A86A7C" w:rsidRDefault="00A86A7C" w:rsidP="009D66C5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eastAsiaTheme="minorEastAsia" w:hAnsi="Times New Roman"/>
          <w:color w:val="auto"/>
          <w:sz w:val="28"/>
          <w:szCs w:val="28"/>
          <w:u w:color="2A4B7E"/>
          <w:lang w:eastAsia="en-US"/>
        </w:rPr>
      </w:pPr>
    </w:p>
    <w:p w14:paraId="2279A079" w14:textId="09BFA40B" w:rsidR="004E2385" w:rsidRDefault="004E2385" w:rsidP="009D66C5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9D66C5">
        <w:rPr>
          <w:rFonts w:eastAsiaTheme="minorHAnsi"/>
          <w:sz w:val="28"/>
          <w:szCs w:val="28"/>
          <w:lang w:val="ru-RU" w:eastAsia="en-US"/>
        </w:rPr>
        <w:t>Доходы составили 473 564 млн. тенге, в том числе в грузовом движении по регулируемым видам услуг 462 363 млн. тенге,  ВБП – 10 70</w:t>
      </w:r>
      <w:r w:rsidR="00477171" w:rsidRPr="009D66C5">
        <w:rPr>
          <w:rFonts w:eastAsiaTheme="minorHAnsi"/>
          <w:sz w:val="28"/>
          <w:szCs w:val="28"/>
          <w:lang w:val="ru-RU" w:eastAsia="en-US"/>
        </w:rPr>
        <w:t>7</w:t>
      </w:r>
      <w:r w:rsidRPr="009D66C5">
        <w:rPr>
          <w:rFonts w:eastAsiaTheme="minorHAnsi"/>
          <w:sz w:val="28"/>
          <w:szCs w:val="28"/>
          <w:lang w:val="ru-RU" w:eastAsia="en-US"/>
        </w:rPr>
        <w:t xml:space="preserve"> млн. тенге.</w:t>
      </w:r>
    </w:p>
    <w:p w14:paraId="19899370" w14:textId="77777777" w:rsidR="00A86A7C" w:rsidRPr="00A86A7C" w:rsidRDefault="00A86A7C" w:rsidP="00A86A7C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86A7C">
        <w:rPr>
          <w:rFonts w:ascii="Times New Roman" w:eastAsiaTheme="minorHAnsi" w:hAnsi="Times New Roman" w:cs="Times New Roman"/>
          <w:sz w:val="28"/>
          <w:szCs w:val="28"/>
          <w:lang w:val="ru-RU"/>
        </w:rPr>
        <w:t>При этом по итогам исполнения тарифной сметы на услуги МЖС за 2023 год сложился отрицательный финансовый результат (убыток) в размере 53 078 млн.тенге за счет роста фактических затрат на 35%.</w:t>
      </w:r>
    </w:p>
    <w:p w14:paraId="5F173CEF" w14:textId="77777777" w:rsidR="00A86A7C" w:rsidRPr="009D66C5" w:rsidRDefault="00A86A7C" w:rsidP="009D66C5">
      <w:pPr>
        <w:pStyle w:val="3"/>
        <w:spacing w:after="0"/>
        <w:ind w:left="0"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14:paraId="285F6DEE" w14:textId="77777777" w:rsidR="005132DF" w:rsidRPr="0038628C" w:rsidRDefault="005132DF" w:rsidP="009D66C5">
      <w:pPr>
        <w:pStyle w:val="a7"/>
        <w:spacing w:before="0" w:beforeAutospacing="0" w:after="0" w:afterAutospacing="0"/>
        <w:ind w:firstLine="567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  <w:u w:color="2A4B7E"/>
          <w:lang w:eastAsia="en-US"/>
        </w:rPr>
      </w:pPr>
    </w:p>
    <w:p w14:paraId="5C2E9550" w14:textId="3031563D" w:rsidR="008F0F30" w:rsidRPr="00701F5B" w:rsidRDefault="008F0F30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</w:pPr>
      <w:bookmarkStart w:id="2" w:name="_Hlk133332423"/>
      <w:r w:rsidRPr="00701F5B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5.Отчет об исполнении инвестиционной</w:t>
      </w:r>
      <w:r w:rsidR="002F06E7" w:rsidRPr="00701F5B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 xml:space="preserve"> программы на услуги МЖС за 202</w:t>
      </w:r>
      <w:r w:rsidR="00704D1F" w:rsidRPr="00701F5B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3</w:t>
      </w:r>
      <w:r w:rsidR="005D2F96" w:rsidRPr="00701F5B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 xml:space="preserve"> </w:t>
      </w:r>
      <w:r w:rsidRPr="00701F5B">
        <w:rPr>
          <w:rFonts w:ascii="Times New Roman" w:hAnsi="Times New Roman" w:cs="Times New Roman"/>
          <w:b/>
          <w:bCs/>
          <w:i/>
          <w:iCs/>
          <w:sz w:val="28"/>
          <w:szCs w:val="28"/>
          <w:u w:color="01154D"/>
          <w:lang w:val="ru-RU"/>
        </w:rPr>
        <w:t>год</w:t>
      </w:r>
    </w:p>
    <w:p w14:paraId="2A72C272" w14:textId="60A75301" w:rsidR="00704D1F" w:rsidRPr="00701F5B" w:rsidRDefault="00704D1F" w:rsidP="009D66C5">
      <w:pPr>
        <w:pStyle w:val="a3"/>
        <w:spacing w:after="0"/>
        <w:ind w:left="0" w:firstLine="709"/>
        <w:contextualSpacing/>
        <w:jc w:val="both"/>
        <w:rPr>
          <w:bCs/>
          <w:sz w:val="28"/>
          <w:szCs w:val="28"/>
          <w:lang w:val="ru-RU"/>
        </w:rPr>
      </w:pPr>
      <w:r w:rsidRPr="00701F5B">
        <w:rPr>
          <w:sz w:val="28"/>
          <w:szCs w:val="28"/>
          <w:lang w:val="ru-RU"/>
        </w:rPr>
        <w:t>Согласно утвержденной инвестиционной программы объем инвестиций</w:t>
      </w:r>
      <w:r w:rsidRPr="00701F5B">
        <w:rPr>
          <w:sz w:val="28"/>
          <w:szCs w:val="28"/>
          <w:lang w:val="ru-RU" w:eastAsia="ru-RU"/>
        </w:rPr>
        <w:t xml:space="preserve"> утвержден за счет собственных средств </w:t>
      </w:r>
      <w:bookmarkStart w:id="3" w:name="_Hlk127278023"/>
      <w:r w:rsidRPr="00701F5B">
        <w:rPr>
          <w:sz w:val="28"/>
          <w:szCs w:val="28"/>
          <w:lang w:val="ru-RU" w:eastAsia="ru-RU"/>
        </w:rPr>
        <w:t>на 2023 год в размере 115,8 млрд. тенге</w:t>
      </w:r>
      <w:bookmarkEnd w:id="3"/>
      <w:r w:rsidRPr="00701F5B">
        <w:rPr>
          <w:sz w:val="28"/>
          <w:szCs w:val="28"/>
          <w:lang w:val="ru-RU" w:eastAsia="ru-RU"/>
        </w:rPr>
        <w:t>. По итогам 2023 года инвестиционная программа выполнена на 130 млрд.тенге.</w:t>
      </w:r>
    </w:p>
    <w:p w14:paraId="0286F095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За счет регулируемой деятельности в 2023 году капитальный ремонт пути выполнен в объеме 528 км на сумму 103 млрд.тенге, что соответствует утвержденной Концепции. При этом, для обеспечения безопасного и бесперебойного предоставления услуг и более эффективного использования ресурсов за счет нерегулируемой деятельности капитальным и альтернативным видами ремонта пути отремонтировано 425 км, в том числе:</w:t>
      </w:r>
    </w:p>
    <w:p w14:paraId="0DC83ECD" w14:textId="77777777" w:rsidR="00704D1F" w:rsidRPr="00701F5B" w:rsidRDefault="00704D1F" w:rsidP="009D66C5">
      <w:pPr>
        <w:pStyle w:val="ae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 «Капитальный ремонт пути хоз. способом» в объеме 29 км;</w:t>
      </w:r>
    </w:p>
    <w:p w14:paraId="561DFA91" w14:textId="77777777" w:rsidR="00704D1F" w:rsidRPr="00701F5B" w:rsidRDefault="00704D1F" w:rsidP="009D66C5">
      <w:pPr>
        <w:pStyle w:val="ae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 «Смена рельсовой колеи» в объеме 122 км;</w:t>
      </w:r>
    </w:p>
    <w:p w14:paraId="57227114" w14:textId="77777777" w:rsidR="00704D1F" w:rsidRPr="00701F5B" w:rsidRDefault="00704D1F" w:rsidP="009D66C5">
      <w:pPr>
        <w:pStyle w:val="ae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 «Смена рельсовых опор (шпал и скреплений)» в объеме 99 км;</w:t>
      </w:r>
    </w:p>
    <w:p w14:paraId="5F58F563" w14:textId="77777777" w:rsidR="00704D1F" w:rsidRPr="00701F5B" w:rsidRDefault="00704D1F" w:rsidP="009D66C5">
      <w:pPr>
        <w:pStyle w:val="ae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 «Усиленный средний ремонт пути хоз. способом» в объеме 135 км;</w:t>
      </w:r>
    </w:p>
    <w:p w14:paraId="72CAD118" w14:textId="77777777" w:rsidR="00704D1F" w:rsidRPr="00701F5B" w:rsidRDefault="00704D1F" w:rsidP="009D66C5">
      <w:pPr>
        <w:pStyle w:val="ae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 «Смена рельсовой колеи с/г (с Р50 на Р65)» в объеме 22 км;</w:t>
      </w:r>
    </w:p>
    <w:p w14:paraId="69C488C4" w14:textId="77777777" w:rsidR="00704D1F" w:rsidRPr="00701F5B" w:rsidRDefault="00704D1F" w:rsidP="009D66C5">
      <w:pPr>
        <w:pStyle w:val="ae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- «Смена рельсовых опор (шпал и скреплений) старогодние» в объеме 17 км.</w:t>
      </w:r>
    </w:p>
    <w:p w14:paraId="33BFBB91" w14:textId="77777777" w:rsidR="00704D1F" w:rsidRPr="00701F5B" w:rsidRDefault="00704D1F" w:rsidP="009D66C5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Таким образом, планируемый комплекс мероприятий по ремонту верхнего строения пути, направленный на обеспечение безопасного и бесперебойного движения поездов, за счет регулируемой и не регулируемой деятельности составил 953 км, что на 425 км выше предусмотренного ИП МЖС объема капитального ремонта пути. </w:t>
      </w:r>
    </w:p>
    <w:p w14:paraId="02836179" w14:textId="773305AB" w:rsidR="00704D1F" w:rsidRPr="00701F5B" w:rsidRDefault="0055579E" w:rsidP="009D66C5">
      <w:pPr>
        <w:pStyle w:val="a3"/>
        <w:spacing w:after="0"/>
        <w:ind w:left="0" w:firstLine="709"/>
        <w:contextualSpacing/>
        <w:jc w:val="both"/>
        <w:rPr>
          <w:sz w:val="28"/>
          <w:szCs w:val="28"/>
          <w:lang w:val="ru-RU"/>
        </w:rPr>
      </w:pPr>
      <w:r w:rsidRPr="00701F5B">
        <w:rPr>
          <w:sz w:val="28"/>
          <w:szCs w:val="28"/>
          <w:lang w:val="ru-RU"/>
        </w:rPr>
        <w:t xml:space="preserve">С 2016 года </w:t>
      </w:r>
      <w:r w:rsidR="00704D1F" w:rsidRPr="00701F5B">
        <w:rPr>
          <w:sz w:val="28"/>
          <w:szCs w:val="28"/>
          <w:lang w:val="ru-RU"/>
        </w:rPr>
        <w:t>Обществом проведена огромная работа и достигнута положительная динамика уменьшения объема километров пути, требующих выполнения капитального ремонта с 4</w:t>
      </w:r>
      <w:r w:rsidR="00704D1F" w:rsidRPr="00701F5B">
        <w:rPr>
          <w:sz w:val="28"/>
          <w:szCs w:val="28"/>
        </w:rPr>
        <w:t> </w:t>
      </w:r>
      <w:r w:rsidR="00704D1F" w:rsidRPr="00701F5B">
        <w:rPr>
          <w:sz w:val="28"/>
          <w:szCs w:val="28"/>
          <w:lang w:val="ru-RU"/>
        </w:rPr>
        <w:t>162 км до 2</w:t>
      </w:r>
      <w:r w:rsidR="00704D1F" w:rsidRPr="00701F5B">
        <w:rPr>
          <w:sz w:val="28"/>
          <w:szCs w:val="28"/>
        </w:rPr>
        <w:t> </w:t>
      </w:r>
      <w:r w:rsidR="00704D1F" w:rsidRPr="00701F5B">
        <w:rPr>
          <w:sz w:val="28"/>
          <w:szCs w:val="28"/>
          <w:lang w:val="ru-RU"/>
        </w:rPr>
        <w:t>227 км, таким образом снижение составило 1 935 км.</w:t>
      </w:r>
    </w:p>
    <w:p w14:paraId="7AD3C875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F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Из-за отсутствия поставок комплексов стрелочных переводов в 2019-2020гг. допущен рост ограничений скоростей движения, что повлияло на задержку пассажирских и грузовых поездов. </w:t>
      </w:r>
    </w:p>
    <w:p w14:paraId="224FFAFA" w14:textId="29BE241F" w:rsidR="00704D1F" w:rsidRPr="00701F5B" w:rsidRDefault="00704D1F" w:rsidP="009D66C5">
      <w:pPr>
        <w:pStyle w:val="a3"/>
        <w:spacing w:after="0"/>
        <w:ind w:left="0" w:firstLine="709"/>
        <w:contextualSpacing/>
        <w:jc w:val="both"/>
        <w:rPr>
          <w:sz w:val="28"/>
          <w:szCs w:val="28"/>
          <w:lang w:val="ru-RU"/>
        </w:rPr>
      </w:pPr>
      <w:r w:rsidRPr="00701F5B">
        <w:rPr>
          <w:sz w:val="28"/>
          <w:szCs w:val="28"/>
          <w:lang w:val="ru-RU"/>
        </w:rPr>
        <w:t>С 2021 года наблюдается положительная динамика по замене дефектных стрелочных переводов, для обеспечения устойчивой работы путевого хозяйства,  движения поездов согласно установленного графика, устранения негодности подрельсовых оснований, уменьшения объема дефектных стрелочных переводов с 8 228 комплектов до 7 075 комплектов в 2023 году произведена замена комплексов стрелочных переводов в объеме 622 комплекса.</w:t>
      </w:r>
    </w:p>
    <w:p w14:paraId="3BF40A2A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F5B">
        <w:rPr>
          <w:rFonts w:ascii="Times New Roman" w:hAnsi="Times New Roman" w:cs="Times New Roman"/>
          <w:sz w:val="28"/>
          <w:szCs w:val="28"/>
          <w:lang w:val="ru-RU"/>
        </w:rPr>
        <w:t>В целях обеспечения устойчивого электроснабжения устройств контактной сети, сигнализации, связи и других объектов железной дороги приобретено 4 ед. тяговых трансформаторов, 15 шт. трансформаторов тока 220 кВ, а так же автотрансформаторов на АПП в количестве 2 шт. для поддержания заданного напряжения в контактной сети на общую сумму 2,6 млрд.тенге.</w:t>
      </w:r>
    </w:p>
    <w:p w14:paraId="1C36CD05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F5B">
        <w:rPr>
          <w:rFonts w:ascii="Times New Roman" w:hAnsi="Times New Roman" w:cs="Times New Roman"/>
          <w:sz w:val="28"/>
          <w:szCs w:val="28"/>
          <w:lang w:val="ru-RU"/>
        </w:rPr>
        <w:t>За отчетный период, проведена работа поэлементному обновлению электротехнического оборудования тяговых подстанций, имеющих большой износ и нуждающихся в замене: ограничителей перенапряжения 110, 220 кВ – 23 шт., элегазовых выключателей 220 кВ – 19 шт., вакуумных выключателей 27,5 кВ – 46 ед. на общую сумму 877 млн.тенге.</w:t>
      </w:r>
    </w:p>
    <w:p w14:paraId="2C965654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инвестиционной программы на 2023 год для обеспечения специализированной техникой и оборудованием, модульными зданиями в целях приведения уровня оснащенности в соответствии с нормативным согласно Табелю технического оснащения основных средств осуществлена поставка:</w:t>
      </w:r>
    </w:p>
    <w:p w14:paraId="1E7A9661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единицы крана на железнодорожному ходу для проведения восстановительных работ на сумму 2</w:t>
      </w:r>
      <w:r w:rsidRPr="00701F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474 млн.тенге;</w:t>
      </w:r>
    </w:p>
    <w:p w14:paraId="5FE7D41D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 ед. многофункциональных путевых машин на сумму 1,6 млрд.тенге;</w:t>
      </w:r>
    </w:p>
    <w:p w14:paraId="5BC1444F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165 ед. малой механизации - шурупогайковертов на сумму 1 306 млн. тенге;</w:t>
      </w:r>
    </w:p>
    <w:p w14:paraId="20667A7F" w14:textId="45C9DF61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79 ед. модульных зданий </w:t>
      </w:r>
      <w:bookmarkStart w:id="4" w:name="_GoBack"/>
      <w:bookmarkEnd w:id="4"/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Pr="00701F5B">
        <w:rPr>
          <w:rFonts w:ascii="Times New Roman" w:hAnsi="Times New Roman" w:cs="Times New Roman"/>
          <w:sz w:val="28"/>
          <w:szCs w:val="28"/>
          <w:lang w:val="ru-RU"/>
        </w:rPr>
        <w:t>возможности оперативного реагирования при возникновении нестандартных ситуаций и обеспечения безопасности движения.</w:t>
      </w:r>
    </w:p>
    <w:p w14:paraId="16760DEA" w14:textId="77777777" w:rsidR="00704D1F" w:rsidRPr="00701F5B" w:rsidRDefault="00704D1F" w:rsidP="009D66C5">
      <w:pPr>
        <w:pStyle w:val="ae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Произведенные Компанией инвестиции в 2023 году позволят: </w:t>
      </w:r>
    </w:p>
    <w:p w14:paraId="4A009130" w14:textId="77777777" w:rsidR="00704D1F" w:rsidRPr="00701F5B" w:rsidRDefault="00704D1F" w:rsidP="009D66C5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удовлетворить потребности в грузоперевозках железнодорожным транспортом; </w:t>
      </w:r>
    </w:p>
    <w:p w14:paraId="12CECDB6" w14:textId="77777777" w:rsidR="00704D1F" w:rsidRPr="00701F5B" w:rsidRDefault="00704D1F" w:rsidP="009D66C5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обеспечить бесперебойную работу железнодорожного транспорта;</w:t>
      </w:r>
    </w:p>
    <w:p w14:paraId="22B6687B" w14:textId="77777777" w:rsidR="00704D1F" w:rsidRPr="00701F5B" w:rsidRDefault="00704D1F" w:rsidP="009D66C5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снизить уровень износа основных фондов;</w:t>
      </w:r>
    </w:p>
    <w:p w14:paraId="4AD2F459" w14:textId="3EC59CE5" w:rsidR="00704D1F" w:rsidRPr="009D66C5" w:rsidRDefault="00704D1F" w:rsidP="009D66C5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01F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повысить скорости движения.</w:t>
      </w:r>
    </w:p>
    <w:p w14:paraId="61CE3EA4" w14:textId="77777777" w:rsidR="00704D1F" w:rsidRPr="009D66C5" w:rsidRDefault="00704D1F" w:rsidP="009D66C5">
      <w:pPr>
        <w:pStyle w:val="a3"/>
        <w:spacing w:after="0"/>
        <w:ind w:left="0" w:firstLine="709"/>
        <w:contextualSpacing/>
        <w:jc w:val="both"/>
        <w:rPr>
          <w:sz w:val="28"/>
          <w:szCs w:val="28"/>
          <w:lang w:val="ru-RU"/>
        </w:rPr>
      </w:pPr>
    </w:p>
    <w:bookmarkEnd w:id="2"/>
    <w:p w14:paraId="693BEED1" w14:textId="77777777" w:rsidR="008F0F30" w:rsidRPr="009D66C5" w:rsidRDefault="008F0F30" w:rsidP="009D66C5">
      <w:pPr>
        <w:widowControl w:val="0"/>
        <w:tabs>
          <w:tab w:val="right" w:pos="961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6.О качестве предоставляемых услуг</w:t>
      </w:r>
    </w:p>
    <w:p w14:paraId="619CB40B" w14:textId="77777777" w:rsidR="00704D1F" w:rsidRPr="009D66C5" w:rsidRDefault="00704D1F" w:rsidP="009D66C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D6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Оздоровление верхнего строения пути и проведенный капитальный ремонт пути позволили повысить скорость движения для пассажирских поездов на 44,6 километрах и для грузовых поездов на 228,4 километрах.</w:t>
      </w:r>
    </w:p>
    <w:p w14:paraId="224B17D8" w14:textId="53B3FEF5" w:rsidR="00545777" w:rsidRPr="009D66C5" w:rsidRDefault="00704D1F" w:rsidP="009D66C5">
      <w:pPr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9D66C5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lastRenderedPageBreak/>
        <w:t>В целях улучшения плавности хода и обеспечения комфортного проезда выполнены работы по увеличению протяженности бесстыкового пути в сравнении с 2022 годом больше на 0,6 тыс.км или 103%, по увеличению пар плетей бесстыкового пути больше до перегона на 16 пар плетей или 131%, до блок-участка – 280 пар плетей или на 111%.</w:t>
      </w:r>
    </w:p>
    <w:p w14:paraId="1F825E40" w14:textId="77777777" w:rsidR="00704D1F" w:rsidRPr="009D66C5" w:rsidRDefault="00704D1F" w:rsidP="009D66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375F6D" w14:textId="77777777" w:rsidR="008F0F30" w:rsidRPr="009D66C5" w:rsidRDefault="008F0F30" w:rsidP="009D66C5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7.</w:t>
      </w:r>
      <w:r w:rsidR="005D2F96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О проводимой работе с потребителями услуг</w:t>
      </w:r>
    </w:p>
    <w:p w14:paraId="0B4B3DCB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/>
        </w:rPr>
      </w:pPr>
      <w:bookmarkStart w:id="5" w:name="_Hlk132996602"/>
      <w:bookmarkStart w:id="6" w:name="_Hlk132997074"/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Заключены договора на оказание услуг МЖС в пассажирском движении - 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15,</w:t>
      </w: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в грузовом – 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3</w:t>
      </w: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</w:t>
      </w:r>
      <w:r w:rsidRPr="009D66C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в том числе 2 частных перевозчика</w:t>
      </w: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).</w:t>
      </w:r>
    </w:p>
    <w:p w14:paraId="608E4AC5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Согласно приказам КРЕМ РК пассажирским перевозчикам предоставлен временный понижающий коэффициент в размере 0,01 к тарифу на услуги МЖС при перевозке пассажиров железнодорожным транспортом. Общая сумма </w:t>
      </w:r>
      <w:r w:rsidRPr="009D66C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ВПК</w:t>
      </w: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в 2023 году составила </w:t>
      </w:r>
      <w:r w:rsidRPr="009D66C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20,3 млрд .тенге</w:t>
      </w: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4DD73FFB" w14:textId="5F29125C" w:rsidR="00704D1F" w:rsidRPr="009D66C5" w:rsidRDefault="0055579E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bookmarkStart w:id="7" w:name="_Hlk164780030"/>
      <w:r w:rsidRPr="008C1D6E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 адрес МИИР РК направлены предложения по внесению изменений и дополнений в Правила пользования магистральной железнодорожной сетью, утвержденных приказом и.о. Министра по инвестициям и развитию Республики Казахстан от 27 марта 2015  года №366 в части изменения сроков разработки и утверждения нормативного графика движения в соответствии с протоколом ЦСЖТ, а также приема заявок перевозчиков на предоставление им права доступа к услугам МЖС</w:t>
      </w:r>
      <w:bookmarkEnd w:id="7"/>
      <w:r w:rsidR="00704D1F"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55BE66E9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Разработано и направлено на рассмотрение в Министерство транспорта РК проект приказа «Об утверждении Правил допуска локомотивов, моторвагонного и специального самоходного подвижного состава на магистральную железнодорожную сеть». </w:t>
      </w:r>
    </w:p>
    <w:p w14:paraId="047ED39D" w14:textId="77777777" w:rsidR="00704D1F" w:rsidRPr="009D66C5" w:rsidRDefault="00704D1F" w:rsidP="006750AD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Утвержден Регламент следования локомотивов оператора локомотивной тяги по магистральной железнодорожной сети для осуществления операций по подаче, уборке вагонов, утвержденный приказом от 7 сентября 2023 года №624-ЦЗ.</w:t>
      </w:r>
    </w:p>
    <w:p w14:paraId="1088CEC8" w14:textId="77777777" w:rsidR="00704D1F" w:rsidRPr="009D66C5" w:rsidRDefault="00704D1F" w:rsidP="006750AD">
      <w:pPr>
        <w:widowControl w:val="0"/>
        <w:numPr>
          <w:ilvl w:val="1"/>
          <w:numId w:val="44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В рамках реализации мероприятий проекта 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Центр управления движением поездов </w:t>
      </w: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 период 2018-2023 гг. выполнено:</w:t>
      </w:r>
    </w:p>
    <w:p w14:paraId="6B719097" w14:textId="77777777" w:rsidR="00704D1F" w:rsidRPr="009D66C5" w:rsidRDefault="00704D1F" w:rsidP="006750AD">
      <w:pPr>
        <w:pStyle w:val="a5"/>
        <w:widowControl w:val="0"/>
        <w:tabs>
          <w:tab w:val="left" w:pos="0"/>
          <w:tab w:val="left" w:pos="284"/>
          <w:tab w:val="left" w:pos="993"/>
          <w:tab w:val="left" w:pos="141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  <w:lang/>
        </w:rPr>
      </w:pPr>
      <w:r w:rsidRPr="009D66C5">
        <w:rPr>
          <w:bCs/>
          <w:iCs/>
          <w:sz w:val="28"/>
          <w:szCs w:val="28"/>
        </w:rPr>
        <w:t xml:space="preserve">- внедрение микропроцессорной диспетчерской централизации </w:t>
      </w:r>
      <w:r w:rsidRPr="009D66C5">
        <w:rPr>
          <w:b/>
          <w:bCs/>
          <w:i/>
          <w:iCs/>
          <w:sz w:val="28"/>
          <w:szCs w:val="28"/>
        </w:rPr>
        <w:t xml:space="preserve">(МП АСДЦ) на 454 раздельных пунктах </w:t>
      </w:r>
      <w:r w:rsidRPr="009D66C5">
        <w:rPr>
          <w:bCs/>
          <w:iCs/>
          <w:sz w:val="28"/>
          <w:szCs w:val="28"/>
        </w:rPr>
        <w:t>на 40 диспетчерских кругах Западного, Юго-Восточного и Северного регионов, что позволило обеспечить централизованное управление раздельными пунктами поездным диспетчером; непрерывный контроль в автоматическом режиме за поездной ситуацией (свободность/занятость участков, положение стрелок, наличие заданного маршрута и др.);</w:t>
      </w:r>
    </w:p>
    <w:p w14:paraId="7EC4EB0F" w14:textId="77777777" w:rsidR="00704D1F" w:rsidRPr="009D66C5" w:rsidRDefault="00704D1F" w:rsidP="006750AD">
      <w:pPr>
        <w:pStyle w:val="a5"/>
        <w:widowControl w:val="0"/>
        <w:tabs>
          <w:tab w:val="left" w:pos="0"/>
          <w:tab w:val="left" w:pos="284"/>
          <w:tab w:val="left" w:pos="993"/>
          <w:tab w:val="left" w:pos="141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  <w:lang/>
        </w:rPr>
      </w:pPr>
      <w:r w:rsidRPr="009D66C5">
        <w:rPr>
          <w:bCs/>
          <w:iCs/>
          <w:sz w:val="28"/>
          <w:szCs w:val="28"/>
        </w:rPr>
        <w:t xml:space="preserve">- создание Центра управления движением поездов и инфраструктурой Западного региона, г. Актобе, </w:t>
      </w:r>
      <w:r w:rsidRPr="009D66C5">
        <w:rPr>
          <w:b/>
          <w:bCs/>
          <w:iCs/>
          <w:sz w:val="28"/>
          <w:szCs w:val="28"/>
        </w:rPr>
        <w:t xml:space="preserve"> </w:t>
      </w:r>
      <w:r w:rsidRPr="009D66C5">
        <w:rPr>
          <w:bCs/>
          <w:iCs/>
          <w:sz w:val="28"/>
          <w:szCs w:val="28"/>
        </w:rPr>
        <w:t xml:space="preserve">позволило управлять движением поездов из одного места в границах </w:t>
      </w:r>
      <w:r w:rsidRPr="009D66C5">
        <w:rPr>
          <w:b/>
          <w:bCs/>
          <w:i/>
          <w:iCs/>
          <w:sz w:val="28"/>
          <w:szCs w:val="28"/>
        </w:rPr>
        <w:t xml:space="preserve">5-ти  отделений </w:t>
      </w:r>
      <w:r w:rsidRPr="009D66C5">
        <w:rPr>
          <w:bCs/>
          <w:iCs/>
          <w:sz w:val="28"/>
          <w:szCs w:val="28"/>
        </w:rPr>
        <w:t xml:space="preserve">общей эксплуатационной длиной - </w:t>
      </w:r>
      <w:r w:rsidRPr="009D66C5">
        <w:rPr>
          <w:b/>
          <w:bCs/>
          <w:i/>
          <w:iCs/>
          <w:sz w:val="28"/>
          <w:szCs w:val="28"/>
        </w:rPr>
        <w:t>5 245,5 км;</w:t>
      </w:r>
    </w:p>
    <w:p w14:paraId="637AA88A" w14:textId="77777777" w:rsidR="00704D1F" w:rsidRPr="009D66C5" w:rsidRDefault="00704D1F" w:rsidP="006750AD">
      <w:pPr>
        <w:pStyle w:val="a5"/>
        <w:widowControl w:val="0"/>
        <w:tabs>
          <w:tab w:val="left" w:pos="0"/>
          <w:tab w:val="left" w:pos="284"/>
          <w:tab w:val="left" w:pos="993"/>
          <w:tab w:val="left" w:pos="141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</w:rPr>
      </w:pPr>
      <w:r w:rsidRPr="009D66C5">
        <w:rPr>
          <w:bCs/>
          <w:iCs/>
          <w:sz w:val="28"/>
          <w:szCs w:val="28"/>
        </w:rPr>
        <w:t xml:space="preserve">- создание Центра управления движением поездов и инфраструктурой </w:t>
      </w:r>
      <w:r w:rsidRPr="009D66C5">
        <w:rPr>
          <w:bCs/>
          <w:iCs/>
          <w:sz w:val="28"/>
          <w:szCs w:val="28"/>
        </w:rPr>
        <w:lastRenderedPageBreak/>
        <w:t xml:space="preserve">Юго-Восточного региона, г. Алматы,  позволяющий управлять движением поездов из одного места в границах 4-х  отделений общей эксплуатационной длиной – </w:t>
      </w:r>
      <w:r w:rsidRPr="009D66C5">
        <w:rPr>
          <w:b/>
          <w:bCs/>
          <w:i/>
          <w:iCs/>
          <w:sz w:val="28"/>
          <w:szCs w:val="28"/>
        </w:rPr>
        <w:t>4 450 км</w:t>
      </w:r>
      <w:bookmarkEnd w:id="5"/>
      <w:r w:rsidRPr="009D66C5">
        <w:rPr>
          <w:b/>
          <w:bCs/>
          <w:i/>
          <w:iCs/>
          <w:sz w:val="28"/>
          <w:szCs w:val="28"/>
        </w:rPr>
        <w:t>;</w:t>
      </w:r>
    </w:p>
    <w:p w14:paraId="73A0AD57" w14:textId="77777777" w:rsidR="00704D1F" w:rsidRPr="009D66C5" w:rsidRDefault="00704D1F" w:rsidP="006750AD">
      <w:pPr>
        <w:pStyle w:val="a5"/>
        <w:widowControl w:val="0"/>
        <w:tabs>
          <w:tab w:val="left" w:pos="0"/>
          <w:tab w:val="left" w:pos="284"/>
          <w:tab w:val="left" w:pos="993"/>
          <w:tab w:val="left" w:pos="141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  <w:lang/>
        </w:rPr>
      </w:pPr>
      <w:r w:rsidRPr="009D66C5">
        <w:rPr>
          <w:bCs/>
          <w:iCs/>
          <w:sz w:val="28"/>
          <w:szCs w:val="28"/>
        </w:rPr>
        <w:t xml:space="preserve">- создание Центра управления движением поездов и инфраструктурой Северного региона, г. Астана,  позволяющий управлять движением поездов из одного места в границах 4-х  отделений общей эксплуатационной длиной – </w:t>
      </w:r>
      <w:r w:rsidRPr="009D66C5">
        <w:rPr>
          <w:b/>
          <w:bCs/>
          <w:i/>
          <w:iCs/>
          <w:sz w:val="28"/>
          <w:szCs w:val="28"/>
        </w:rPr>
        <w:t>4 444 км;</w:t>
      </w:r>
    </w:p>
    <w:p w14:paraId="7626E26E" w14:textId="77777777" w:rsidR="00704D1F" w:rsidRPr="009D66C5" w:rsidRDefault="00704D1F" w:rsidP="009D66C5">
      <w:pPr>
        <w:pStyle w:val="a5"/>
        <w:widowControl w:val="0"/>
        <w:tabs>
          <w:tab w:val="left" w:pos="0"/>
          <w:tab w:val="left" w:pos="284"/>
          <w:tab w:val="left" w:pos="993"/>
          <w:tab w:val="left" w:pos="141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</w:rPr>
      </w:pPr>
      <w:r w:rsidRPr="009D66C5">
        <w:rPr>
          <w:bCs/>
          <w:iCs/>
          <w:sz w:val="28"/>
          <w:szCs w:val="28"/>
        </w:rPr>
        <w:t>- проведена модернизация и включены в диспетчеризацию 3 раздельных пункта участка Кызылжар-Жезказган;</w:t>
      </w:r>
    </w:p>
    <w:p w14:paraId="4CC991AB" w14:textId="77777777" w:rsidR="00704D1F" w:rsidRPr="009D66C5" w:rsidRDefault="00704D1F" w:rsidP="009D66C5">
      <w:pPr>
        <w:pStyle w:val="a5"/>
        <w:widowControl w:val="0"/>
        <w:tabs>
          <w:tab w:val="left" w:pos="0"/>
          <w:tab w:val="left" w:pos="284"/>
          <w:tab w:val="left" w:pos="993"/>
          <w:tab w:val="left" w:pos="141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</w:rPr>
      </w:pPr>
      <w:r w:rsidRPr="009D66C5">
        <w:rPr>
          <w:bCs/>
          <w:iCs/>
          <w:sz w:val="28"/>
          <w:szCs w:val="28"/>
        </w:rPr>
        <w:t xml:space="preserve">- </w:t>
      </w:r>
      <w:bookmarkEnd w:id="6"/>
      <w:r w:rsidRPr="009D66C5">
        <w:rPr>
          <w:bCs/>
          <w:iCs/>
          <w:sz w:val="28"/>
          <w:szCs w:val="28"/>
        </w:rPr>
        <w:t>п</w:t>
      </w:r>
      <w:r w:rsidRPr="009D66C5">
        <w:rPr>
          <w:rFonts w:eastAsiaTheme="minorEastAsia"/>
          <w:bCs/>
          <w:iCs/>
          <w:sz w:val="28"/>
          <w:szCs w:val="28"/>
        </w:rPr>
        <w:t>роведена модернизация в 49-ти линейно-аппаратных залах.</w:t>
      </w:r>
    </w:p>
    <w:p w14:paraId="6BE622C3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Проведены работы по модернизации инфраструктуры для повышения пропускной способности:</w:t>
      </w:r>
    </w:p>
    <w:p w14:paraId="76D08447" w14:textId="77777777" w:rsidR="00704D1F" w:rsidRPr="009D66C5" w:rsidRDefault="00704D1F" w:rsidP="009D66C5">
      <w:pPr>
        <w:pStyle w:val="a5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  <w:lang/>
        </w:rPr>
      </w:pPr>
      <w:r w:rsidRPr="009D66C5">
        <w:rPr>
          <w:rFonts w:eastAsiaTheme="minorEastAsia"/>
          <w:bCs/>
          <w:iCs/>
          <w:sz w:val="28"/>
          <w:szCs w:val="28"/>
        </w:rPr>
        <w:t>- разработано ТЭО на строительство железнодорожной линии Дарбаза-Мактаарал;</w:t>
      </w:r>
    </w:p>
    <w:p w14:paraId="386F984C" w14:textId="77777777" w:rsidR="00704D1F" w:rsidRPr="009D66C5" w:rsidRDefault="00704D1F" w:rsidP="009D66C5">
      <w:pPr>
        <w:pStyle w:val="a5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</w:rPr>
      </w:pPr>
      <w:r w:rsidRPr="009D66C5">
        <w:rPr>
          <w:rFonts w:eastAsiaTheme="minorEastAsia"/>
          <w:bCs/>
          <w:iCs/>
          <w:sz w:val="28"/>
          <w:szCs w:val="28"/>
        </w:rPr>
        <w:t>- откорректирована ПСД на строительство обводной железнодорожной линии вокруг Алматинского узла.</w:t>
      </w:r>
    </w:p>
    <w:p w14:paraId="2C3262DE" w14:textId="77777777" w:rsidR="00704D1F" w:rsidRPr="009D66C5" w:rsidRDefault="00704D1F" w:rsidP="0055579E">
      <w:pPr>
        <w:pStyle w:val="a5"/>
        <w:widowControl w:val="0"/>
        <w:numPr>
          <w:ilvl w:val="1"/>
          <w:numId w:val="44"/>
        </w:numPr>
        <w:tabs>
          <w:tab w:val="left" w:pos="560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bCs/>
          <w:iCs/>
          <w:sz w:val="28"/>
          <w:szCs w:val="28"/>
          <w:lang/>
        </w:rPr>
      </w:pPr>
      <w:r w:rsidRPr="009D66C5">
        <w:rPr>
          <w:bCs/>
          <w:iCs/>
          <w:sz w:val="28"/>
          <w:szCs w:val="28"/>
          <w:lang w:val="kk-KZ"/>
        </w:rPr>
        <w:t>Применены</w:t>
      </w:r>
      <w:r w:rsidRPr="009D66C5">
        <w:rPr>
          <w:bCs/>
          <w:iCs/>
          <w:sz w:val="28"/>
          <w:szCs w:val="28"/>
        </w:rPr>
        <w:t xml:space="preserve"> новые технологии, </w:t>
      </w:r>
      <w:r w:rsidRPr="009D66C5">
        <w:rPr>
          <w:bCs/>
          <w:color w:val="000000" w:themeColor="text1"/>
          <w:sz w:val="28"/>
          <w:szCs w:val="28"/>
          <w:u w:color="2A4B7E"/>
        </w:rPr>
        <w:t xml:space="preserve">которые </w:t>
      </w:r>
      <w:r w:rsidRPr="009D66C5">
        <w:rPr>
          <w:bCs/>
          <w:color w:val="000000" w:themeColor="text1"/>
          <w:sz w:val="28"/>
          <w:szCs w:val="28"/>
          <w:u w:color="2A4B7E"/>
          <w:lang w:val="kk-KZ"/>
        </w:rPr>
        <w:t>приводят к уменьшению количества выдаваемых ограничений скорости движения поездов и обеспечивают сокращение затрат на текущее содержание пути</w:t>
      </w:r>
      <w:r w:rsidRPr="009D66C5">
        <w:rPr>
          <w:bCs/>
          <w:iCs/>
          <w:sz w:val="28"/>
          <w:szCs w:val="28"/>
        </w:rPr>
        <w:t>:</w:t>
      </w:r>
    </w:p>
    <w:p w14:paraId="2407AE86" w14:textId="77777777" w:rsidR="00704D1F" w:rsidRPr="009D66C5" w:rsidRDefault="00704D1F" w:rsidP="009D66C5">
      <w:pPr>
        <w:pStyle w:val="a5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20"/>
        <w:jc w:val="both"/>
        <w:rPr>
          <w:bCs/>
          <w:iCs/>
          <w:sz w:val="28"/>
          <w:szCs w:val="28"/>
          <w:lang/>
        </w:rPr>
      </w:pPr>
      <w:r w:rsidRPr="009D66C5">
        <w:rPr>
          <w:bCs/>
          <w:iCs/>
          <w:sz w:val="28"/>
          <w:szCs w:val="28"/>
        </w:rPr>
        <w:t xml:space="preserve">- на 17,2 км - геосинтетический материал (геотекстиль) с гексагональной георешеткой и на 1 месте -лечение земляного полотна (карстовые  пустоты); </w:t>
      </w:r>
    </w:p>
    <w:p w14:paraId="55BF1648" w14:textId="77777777" w:rsidR="00704D1F" w:rsidRPr="009D66C5" w:rsidRDefault="00704D1F" w:rsidP="009D66C5">
      <w:pPr>
        <w:pStyle w:val="a5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20"/>
        <w:jc w:val="both"/>
        <w:rPr>
          <w:bCs/>
          <w:iCs/>
          <w:sz w:val="28"/>
          <w:szCs w:val="28"/>
          <w:lang/>
        </w:rPr>
      </w:pPr>
      <w:r w:rsidRPr="009D66C5">
        <w:rPr>
          <w:bCs/>
          <w:iCs/>
          <w:sz w:val="28"/>
          <w:szCs w:val="28"/>
        </w:rPr>
        <w:t>- на 206 стыках - высокопрочные клееболтовые изолирующие стыки.</w:t>
      </w:r>
    </w:p>
    <w:p w14:paraId="0A67E616" w14:textId="77777777" w:rsidR="00545777" w:rsidRPr="009D66C5" w:rsidRDefault="00545777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/>
        </w:rPr>
      </w:pPr>
    </w:p>
    <w:p w14:paraId="4EF284D7" w14:textId="28FCFC97" w:rsidR="00545777" w:rsidRPr="009D66C5" w:rsidRDefault="00545777" w:rsidP="009D66C5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</w:pP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8. О перспективах деятельности на  202</w:t>
      </w:r>
      <w:r w:rsidR="00704D1F"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>4</w:t>
      </w:r>
      <w:r w:rsidRPr="009D66C5">
        <w:rPr>
          <w:rFonts w:ascii="Times New Roman" w:hAnsi="Times New Roman" w:cs="Times New Roman"/>
          <w:b/>
          <w:bCs/>
          <w:i/>
          <w:iCs/>
          <w:sz w:val="28"/>
          <w:szCs w:val="28"/>
          <w:u w:color="000000"/>
          <w:lang w:val="ru-RU"/>
        </w:rPr>
        <w:t xml:space="preserve"> год</w:t>
      </w:r>
    </w:p>
    <w:p w14:paraId="075A53E1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bookmarkStart w:id="8" w:name="_Hlk132996648"/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Осуществление  модернизации инфраструктуры для повышения пропускной способности:</w:t>
      </w:r>
    </w:p>
    <w:p w14:paraId="440B56DD" w14:textId="388D3FEA" w:rsidR="00704D1F" w:rsidRPr="009D66C5" w:rsidRDefault="00704D1F" w:rsidP="005557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- продолжить строительство вторых путей на участке Достык – Мойынты.</w:t>
      </w:r>
    </w:p>
    <w:p w14:paraId="021039A6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Реализация производственной программы, предусматривающей проведение ремонтных работ 1 401 км пути.</w:t>
      </w:r>
    </w:p>
    <w:p w14:paraId="43805538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sz w:val="28"/>
          <w:szCs w:val="28"/>
          <w:lang w:val="ru-RU"/>
        </w:rPr>
        <w:t>Реализация инновационных проектов с ресурсосберегающими технологиями, позволяющими повторно применять материалы верхнего строения пути, в том числе:</w:t>
      </w:r>
    </w:p>
    <w:p w14:paraId="2D521CDD" w14:textId="77777777" w:rsidR="00704D1F" w:rsidRPr="009D66C5" w:rsidRDefault="00704D1F" w:rsidP="009D66C5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sz w:val="28"/>
          <w:szCs w:val="28"/>
          <w:lang w:val="ru-RU"/>
        </w:rPr>
        <w:t>- восстановление  1 200 крестовин методом  автоматической наплавки;</w:t>
      </w:r>
    </w:p>
    <w:p w14:paraId="422A1AC2" w14:textId="77777777" w:rsidR="00704D1F" w:rsidRPr="009D66C5" w:rsidRDefault="00704D1F" w:rsidP="009D66C5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sz w:val="28"/>
          <w:szCs w:val="28"/>
          <w:lang w:val="ru-RU"/>
        </w:rPr>
        <w:t xml:space="preserve">- сварка  4 500 рельсовых стыков с использованием метода алюминотермитной сваркой; </w:t>
      </w:r>
    </w:p>
    <w:p w14:paraId="64516176" w14:textId="77777777" w:rsidR="00704D1F" w:rsidRPr="009D66C5" w:rsidRDefault="00704D1F" w:rsidP="009D66C5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sz w:val="28"/>
          <w:szCs w:val="28"/>
          <w:lang w:val="ru-RU"/>
        </w:rPr>
        <w:t xml:space="preserve">- внедрение 726  комплектов стрелочных переводов с применением упругих рельсовых скреплений </w:t>
      </w:r>
      <w:r w:rsidRPr="009D66C5">
        <w:rPr>
          <w:rFonts w:ascii="Times New Roman" w:hAnsi="Times New Roman" w:cs="Times New Roman"/>
          <w:sz w:val="28"/>
          <w:szCs w:val="28"/>
        </w:rPr>
        <w:t>SKL</w:t>
      </w:r>
      <w:r w:rsidRPr="009D66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6C5">
        <w:rPr>
          <w:rFonts w:ascii="Times New Roman" w:hAnsi="Times New Roman" w:cs="Times New Roman"/>
          <w:sz w:val="28"/>
          <w:szCs w:val="28"/>
        </w:rPr>
        <w:t>CL</w:t>
      </w:r>
      <w:r w:rsidRPr="009D66C5"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14:paraId="2114D5AB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Дальнейшее применение новых технологий, которые приводят к уменьшению количества выдаваемых ограничений скорости движения поездов и обеспечивают сокращение затрат на текущее содержание пути:</w:t>
      </w:r>
    </w:p>
    <w:p w14:paraId="3755C6E1" w14:textId="77777777" w:rsidR="00704D1F" w:rsidRPr="009D66C5" w:rsidRDefault="00704D1F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- на участках с пучинными местами применение геосинтетического материала (геотекстиль) с гексагональной георешеткой</w:t>
      </w:r>
    </w:p>
    <w:p w14:paraId="70BB83B2" w14:textId="77777777" w:rsidR="00704D1F" w:rsidRPr="009D66C5" w:rsidRDefault="00704D1F" w:rsidP="009D66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lastRenderedPageBreak/>
        <w:t>- на стыках - высокопрочные клееболтовые изолирующие стыки.</w:t>
      </w:r>
    </w:p>
    <w:p w14:paraId="64B83B53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Реализация дорожной карты по совершенствованию корпоративной </w:t>
      </w:r>
      <w:r w:rsidRPr="009D66C5">
        <w:rPr>
          <w:rFonts w:ascii="Times New Roman" w:hAnsi="Times New Roman" w:cs="Times New Roman"/>
          <w:sz w:val="28"/>
          <w:szCs w:val="28"/>
          <w:lang w:val="ru-RU"/>
        </w:rPr>
        <w:t>системы управления производственной безопасностью в рамках стратегии «Нулевого травматизма».</w:t>
      </w:r>
    </w:p>
    <w:p w14:paraId="0AC8BC24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sz w:val="28"/>
          <w:szCs w:val="28"/>
          <w:lang w:val="ru-RU"/>
        </w:rPr>
        <w:t>Оздоровление пути с применением комплексов путевых машин 6 465 км.</w:t>
      </w:r>
    </w:p>
    <w:p w14:paraId="1110B1B7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Продолжение работы по элементному обновлению электротехнического оборудования тяговых подстанций, имеющих большой износ и нуждающихся в замене, в том числе по замене тяговых трансформаторов в количестве 3 шт., элегазовых выключателей 220 кВ – 9 шт., элегазовых выключателей 110 кВ – 6 ед., аккумуляторных батарей с подзарядным  устройством -  5 комплектов, вакуумных выключателей (однополюсных) - 18 ед., вакуумных выключателей (двухполюсных) - 11 ед., вакуумных выключателей (трехполюсных) - 5 ед. </w:t>
      </w:r>
    </w:p>
    <w:p w14:paraId="487E7114" w14:textId="77777777" w:rsidR="00704D1F" w:rsidRPr="009D66C5" w:rsidRDefault="00704D1F" w:rsidP="009D66C5">
      <w:pPr>
        <w:widowControl w:val="0"/>
        <w:numPr>
          <w:ilvl w:val="1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D66C5">
        <w:rPr>
          <w:rFonts w:ascii="Times New Roman" w:hAnsi="Times New Roman" w:cs="Times New Roman"/>
          <w:bCs/>
          <w:iCs/>
          <w:sz w:val="28"/>
          <w:szCs w:val="28"/>
          <w:lang w:val="ru-RU"/>
        </w:rPr>
        <w:t>Реализация программы по улучшению социально-бытовых условий и повышению уровня организации труда по Дирекции магистральной сети, предусматривающей проведение ремонта производственных зданий, приобретение модульных зданий, автотранспорта, малой механизации, мотовозов, мебели, бытовой и офисной техники.</w:t>
      </w:r>
    </w:p>
    <w:bookmarkEnd w:id="8"/>
    <w:p w14:paraId="23BC6EF3" w14:textId="2156507B" w:rsidR="00545777" w:rsidRPr="003A760B" w:rsidRDefault="00545777" w:rsidP="00704D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sectPr w:rsidR="00545777" w:rsidRPr="003A760B" w:rsidSect="005D2F96">
      <w:footerReference w:type="default" r:id="rId8"/>
      <w:pgSz w:w="12240" w:h="15840" w:code="1"/>
      <w:pgMar w:top="709" w:right="113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17302" w14:textId="77777777" w:rsidR="00FB368F" w:rsidRDefault="00FB368F" w:rsidP="00C06151">
      <w:r>
        <w:separator/>
      </w:r>
    </w:p>
  </w:endnote>
  <w:endnote w:type="continuationSeparator" w:id="0">
    <w:p w14:paraId="03D9D72F" w14:textId="77777777" w:rsidR="00FB368F" w:rsidRDefault="00FB368F" w:rsidP="00C0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44888"/>
      <w:docPartObj>
        <w:docPartGallery w:val="Page Numbers (Bottom of Page)"/>
        <w:docPartUnique/>
      </w:docPartObj>
    </w:sdtPr>
    <w:sdtEndPr/>
    <w:sdtContent>
      <w:p w14:paraId="01EC2319" w14:textId="77777777" w:rsidR="00202B1C" w:rsidRDefault="00202B1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6B" w:rsidRPr="006B276B">
          <w:rPr>
            <w:noProof/>
            <w:lang w:val="ru-RU"/>
          </w:rPr>
          <w:t>1</w:t>
        </w:r>
        <w:r>
          <w:fldChar w:fldCharType="end"/>
        </w:r>
      </w:p>
    </w:sdtContent>
  </w:sdt>
  <w:p w14:paraId="5B0B31E0" w14:textId="77777777" w:rsidR="00202B1C" w:rsidRDefault="00202B1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07511" w14:textId="77777777" w:rsidR="00FB368F" w:rsidRDefault="00FB368F" w:rsidP="00C06151">
      <w:r>
        <w:separator/>
      </w:r>
    </w:p>
  </w:footnote>
  <w:footnote w:type="continuationSeparator" w:id="0">
    <w:p w14:paraId="612F0A8A" w14:textId="77777777" w:rsidR="00FB368F" w:rsidRDefault="00FB368F" w:rsidP="00C0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−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−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8E63F1"/>
    <w:multiLevelType w:val="hybridMultilevel"/>
    <w:tmpl w:val="E67A5C88"/>
    <w:lvl w:ilvl="0" w:tplc="6324C0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A89C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84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8B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74E3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D2F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7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814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16BE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559F8"/>
    <w:multiLevelType w:val="hybridMultilevel"/>
    <w:tmpl w:val="7C94DF30"/>
    <w:lvl w:ilvl="0" w:tplc="F5AEA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4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30A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9E61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7EDD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F690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C3D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B83D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C84A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4F85854"/>
    <w:multiLevelType w:val="hybridMultilevel"/>
    <w:tmpl w:val="9EE65018"/>
    <w:lvl w:ilvl="0" w:tplc="12A80B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A524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4DB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611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F83C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804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4E8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61C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C6FF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A42B0"/>
    <w:multiLevelType w:val="hybridMultilevel"/>
    <w:tmpl w:val="30E667FE"/>
    <w:lvl w:ilvl="0" w:tplc="8958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85204D"/>
    <w:multiLevelType w:val="hybridMultilevel"/>
    <w:tmpl w:val="E4A6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D2F46"/>
    <w:multiLevelType w:val="hybridMultilevel"/>
    <w:tmpl w:val="B874D550"/>
    <w:lvl w:ilvl="0" w:tplc="6AC0E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5047F"/>
    <w:multiLevelType w:val="hybridMultilevel"/>
    <w:tmpl w:val="7818C782"/>
    <w:lvl w:ilvl="0" w:tplc="44E696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EDE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4DD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634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CA2B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A65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AE3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6A6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26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F0703"/>
    <w:multiLevelType w:val="hybridMultilevel"/>
    <w:tmpl w:val="51F6E23E"/>
    <w:lvl w:ilvl="0" w:tplc="FAB2011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204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30C8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C41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9243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EB4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63C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019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0C5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C02AD"/>
    <w:multiLevelType w:val="hybridMultilevel"/>
    <w:tmpl w:val="9E86FE32"/>
    <w:lvl w:ilvl="0" w:tplc="89702A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2970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4E0A6C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C06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6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7C89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8C1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A1B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EF1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67CF8"/>
    <w:multiLevelType w:val="hybridMultilevel"/>
    <w:tmpl w:val="179E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95619"/>
    <w:multiLevelType w:val="hybridMultilevel"/>
    <w:tmpl w:val="B0181DD4"/>
    <w:lvl w:ilvl="0" w:tplc="A022B3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C6E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0A1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EE3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261A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605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6FC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CD5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887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2F47BC"/>
    <w:multiLevelType w:val="hybridMultilevel"/>
    <w:tmpl w:val="84007246"/>
    <w:lvl w:ilvl="0" w:tplc="5308D6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A6C5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6E8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02E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A7A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0A6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C0DB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4601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2FB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367DA"/>
    <w:multiLevelType w:val="hybridMultilevel"/>
    <w:tmpl w:val="B24C8E76"/>
    <w:lvl w:ilvl="0" w:tplc="BF584490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E0E1112"/>
    <w:multiLevelType w:val="hybridMultilevel"/>
    <w:tmpl w:val="509A7E6A"/>
    <w:lvl w:ilvl="0" w:tplc="EE2CA6CC">
      <w:start w:val="8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C38B6"/>
    <w:multiLevelType w:val="hybridMultilevel"/>
    <w:tmpl w:val="E0A24588"/>
    <w:lvl w:ilvl="0" w:tplc="C7D6E7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C9D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61F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888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CBA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D619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E39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DA40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FC7E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65FBF"/>
    <w:multiLevelType w:val="hybridMultilevel"/>
    <w:tmpl w:val="30E667FE"/>
    <w:lvl w:ilvl="0" w:tplc="8958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2A76072"/>
    <w:multiLevelType w:val="hybridMultilevel"/>
    <w:tmpl w:val="967209D0"/>
    <w:lvl w:ilvl="0" w:tplc="C30AC8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46A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AE9C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0C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A6B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6234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6D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6EC5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61B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63B3C37"/>
    <w:multiLevelType w:val="hybridMultilevel"/>
    <w:tmpl w:val="B6A0C372"/>
    <w:lvl w:ilvl="0" w:tplc="990A835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FE2C7F8E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6B6DC36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BD4E0CC4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1FB244A2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70E0B258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4EF8E22A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E8DE3356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CED8CA5A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6" w15:restartNumberingAfterBreak="0">
    <w:nsid w:val="37F16159"/>
    <w:multiLevelType w:val="hybridMultilevel"/>
    <w:tmpl w:val="D012ECB0"/>
    <w:lvl w:ilvl="0" w:tplc="5DFAB2A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89A3878"/>
    <w:multiLevelType w:val="hybridMultilevel"/>
    <w:tmpl w:val="0646180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D7624A7"/>
    <w:multiLevelType w:val="hybridMultilevel"/>
    <w:tmpl w:val="C39E1AEA"/>
    <w:lvl w:ilvl="0" w:tplc="F364EF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2CF0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A25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8E5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E27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1051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AA4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8C3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890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965B3"/>
    <w:multiLevelType w:val="hybridMultilevel"/>
    <w:tmpl w:val="2CA8A02E"/>
    <w:lvl w:ilvl="0" w:tplc="EB0C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C81868"/>
    <w:multiLevelType w:val="hybridMultilevel"/>
    <w:tmpl w:val="02421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CA4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E67C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8263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4E0B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E8D9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53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FE0F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65C2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06AC4"/>
    <w:multiLevelType w:val="hybridMultilevel"/>
    <w:tmpl w:val="6B0AF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519F7"/>
    <w:multiLevelType w:val="hybridMultilevel"/>
    <w:tmpl w:val="97EC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E35DB"/>
    <w:multiLevelType w:val="hybridMultilevel"/>
    <w:tmpl w:val="44F82E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13B0EAB"/>
    <w:multiLevelType w:val="hybridMultilevel"/>
    <w:tmpl w:val="DF2C33D0"/>
    <w:lvl w:ilvl="0" w:tplc="FF16B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E72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AD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2D8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C3A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E1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02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A57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0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36C130F"/>
    <w:multiLevelType w:val="hybridMultilevel"/>
    <w:tmpl w:val="C02AA3A8"/>
    <w:lvl w:ilvl="0" w:tplc="F6E449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549D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08A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47C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CB3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4E1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281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CC67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667D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6089B"/>
    <w:multiLevelType w:val="hybridMultilevel"/>
    <w:tmpl w:val="9CCCB2BE"/>
    <w:lvl w:ilvl="0" w:tplc="BC0CC3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65E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7060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AC6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7013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C3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1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410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693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90D4F"/>
    <w:multiLevelType w:val="hybridMultilevel"/>
    <w:tmpl w:val="A0BA9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523A54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EA9BFC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F47B52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1AA92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7B0DA2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80C0A8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4B0A76C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8BC7B1E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8A0A8A"/>
    <w:multiLevelType w:val="hybridMultilevel"/>
    <w:tmpl w:val="26F276F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5DE4890"/>
    <w:multiLevelType w:val="hybridMultilevel"/>
    <w:tmpl w:val="18EC8682"/>
    <w:lvl w:ilvl="0" w:tplc="CF9AF8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7C5F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5C3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21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46D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A8A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600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88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8E90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6994424"/>
    <w:multiLevelType w:val="hybridMultilevel"/>
    <w:tmpl w:val="BA74970C"/>
    <w:lvl w:ilvl="0" w:tplc="315882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645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620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E80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E4CA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A95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CB5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4D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0C9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71A29"/>
    <w:multiLevelType w:val="hybridMultilevel"/>
    <w:tmpl w:val="4906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20993"/>
    <w:multiLevelType w:val="hybridMultilevel"/>
    <w:tmpl w:val="FC4A3BA0"/>
    <w:lvl w:ilvl="0" w:tplc="BF584490">
      <w:start w:val="1"/>
      <w:numFmt w:val="bullet"/>
      <w:lvlText w:val="-"/>
      <w:lvlJc w:val="left"/>
      <w:pPr>
        <w:ind w:left="759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3" w15:restartNumberingAfterBreak="0">
    <w:nsid w:val="76F1427C"/>
    <w:multiLevelType w:val="hybridMultilevel"/>
    <w:tmpl w:val="B9C433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2B02E0"/>
    <w:multiLevelType w:val="hybridMultilevel"/>
    <w:tmpl w:val="33361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B498B"/>
    <w:multiLevelType w:val="hybridMultilevel"/>
    <w:tmpl w:val="41608754"/>
    <w:lvl w:ilvl="0" w:tplc="00B8C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8B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E95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85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0FF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07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42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A6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B8F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3D239E"/>
    <w:multiLevelType w:val="hybridMultilevel"/>
    <w:tmpl w:val="67521078"/>
    <w:lvl w:ilvl="0" w:tplc="56764A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ED16ED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41B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46B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6B0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EE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65B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EC0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8"/>
  </w:num>
  <w:num w:numId="10">
    <w:abstractNumId w:val="26"/>
  </w:num>
  <w:num w:numId="11">
    <w:abstractNumId w:val="30"/>
  </w:num>
  <w:num w:numId="12">
    <w:abstractNumId w:val="37"/>
  </w:num>
  <w:num w:numId="13">
    <w:abstractNumId w:val="43"/>
  </w:num>
  <w:num w:numId="14">
    <w:abstractNumId w:val="8"/>
  </w:num>
  <w:num w:numId="15">
    <w:abstractNumId w:val="12"/>
  </w:num>
  <w:num w:numId="16">
    <w:abstractNumId w:val="27"/>
  </w:num>
  <w:num w:numId="17">
    <w:abstractNumId w:val="23"/>
  </w:num>
  <w:num w:numId="18">
    <w:abstractNumId w:val="11"/>
  </w:num>
  <w:num w:numId="19">
    <w:abstractNumId w:val="45"/>
  </w:num>
  <w:num w:numId="20">
    <w:abstractNumId w:val="25"/>
  </w:num>
  <w:num w:numId="21">
    <w:abstractNumId w:val="29"/>
  </w:num>
  <w:num w:numId="22">
    <w:abstractNumId w:val="28"/>
  </w:num>
  <w:num w:numId="23">
    <w:abstractNumId w:val="16"/>
  </w:num>
  <w:num w:numId="24">
    <w:abstractNumId w:val="14"/>
  </w:num>
  <w:num w:numId="25">
    <w:abstractNumId w:val="9"/>
  </w:num>
  <w:num w:numId="26">
    <w:abstractNumId w:val="36"/>
  </w:num>
  <w:num w:numId="27">
    <w:abstractNumId w:val="15"/>
  </w:num>
  <w:num w:numId="28">
    <w:abstractNumId w:val="40"/>
  </w:num>
  <w:num w:numId="29">
    <w:abstractNumId w:val="24"/>
  </w:num>
  <w:num w:numId="30">
    <w:abstractNumId w:val="22"/>
  </w:num>
  <w:num w:numId="31">
    <w:abstractNumId w:val="39"/>
  </w:num>
  <w:num w:numId="32">
    <w:abstractNumId w:val="46"/>
  </w:num>
  <w:num w:numId="33">
    <w:abstractNumId w:val="44"/>
  </w:num>
  <w:num w:numId="34">
    <w:abstractNumId w:val="32"/>
  </w:num>
  <w:num w:numId="35">
    <w:abstractNumId w:val="17"/>
  </w:num>
  <w:num w:numId="36">
    <w:abstractNumId w:val="33"/>
  </w:num>
  <w:num w:numId="37">
    <w:abstractNumId w:val="21"/>
  </w:num>
  <w:num w:numId="38">
    <w:abstractNumId w:val="19"/>
  </w:num>
  <w:num w:numId="39">
    <w:abstractNumId w:val="10"/>
  </w:num>
  <w:num w:numId="40">
    <w:abstractNumId w:val="18"/>
  </w:num>
  <w:num w:numId="41">
    <w:abstractNumId w:val="35"/>
  </w:num>
  <w:num w:numId="42">
    <w:abstractNumId w:val="34"/>
  </w:num>
  <w:num w:numId="43">
    <w:abstractNumId w:val="13"/>
  </w:num>
  <w:num w:numId="44">
    <w:abstractNumId w:val="41"/>
  </w:num>
  <w:num w:numId="45">
    <w:abstractNumId w:val="20"/>
  </w:num>
  <w:num w:numId="46">
    <w:abstractNumId w:val="31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56"/>
    <w:rsid w:val="00000B78"/>
    <w:rsid w:val="0000108E"/>
    <w:rsid w:val="00003338"/>
    <w:rsid w:val="00003A3B"/>
    <w:rsid w:val="00004CF8"/>
    <w:rsid w:val="000120FF"/>
    <w:rsid w:val="0002031F"/>
    <w:rsid w:val="00024FA3"/>
    <w:rsid w:val="000366E0"/>
    <w:rsid w:val="00054FB4"/>
    <w:rsid w:val="00062BCE"/>
    <w:rsid w:val="00076EF3"/>
    <w:rsid w:val="00081267"/>
    <w:rsid w:val="000978E5"/>
    <w:rsid w:val="000A3F5D"/>
    <w:rsid w:val="000A4139"/>
    <w:rsid w:val="000C147A"/>
    <w:rsid w:val="000C4134"/>
    <w:rsid w:val="000C58E7"/>
    <w:rsid w:val="000C6A8F"/>
    <w:rsid w:val="000D7061"/>
    <w:rsid w:val="000E7D5D"/>
    <w:rsid w:val="000F14FF"/>
    <w:rsid w:val="000F1C3A"/>
    <w:rsid w:val="000F27AA"/>
    <w:rsid w:val="000F5EA1"/>
    <w:rsid w:val="001006FD"/>
    <w:rsid w:val="00111D59"/>
    <w:rsid w:val="001163D2"/>
    <w:rsid w:val="00121BF3"/>
    <w:rsid w:val="00132D06"/>
    <w:rsid w:val="001370CB"/>
    <w:rsid w:val="00141F3D"/>
    <w:rsid w:val="00144CAD"/>
    <w:rsid w:val="001547B9"/>
    <w:rsid w:val="00154C68"/>
    <w:rsid w:val="00163278"/>
    <w:rsid w:val="0016551E"/>
    <w:rsid w:val="00170378"/>
    <w:rsid w:val="0017111C"/>
    <w:rsid w:val="00174829"/>
    <w:rsid w:val="00175DE4"/>
    <w:rsid w:val="00177AE1"/>
    <w:rsid w:val="0018284B"/>
    <w:rsid w:val="00195AD6"/>
    <w:rsid w:val="001A3A81"/>
    <w:rsid w:val="001B04E3"/>
    <w:rsid w:val="001B18EF"/>
    <w:rsid w:val="001B582F"/>
    <w:rsid w:val="001B60EC"/>
    <w:rsid w:val="001C07A5"/>
    <w:rsid w:val="001D5671"/>
    <w:rsid w:val="001E516C"/>
    <w:rsid w:val="001F2180"/>
    <w:rsid w:val="001F566D"/>
    <w:rsid w:val="0020185E"/>
    <w:rsid w:val="00202B1C"/>
    <w:rsid w:val="00222E5A"/>
    <w:rsid w:val="002368BE"/>
    <w:rsid w:val="00240D02"/>
    <w:rsid w:val="002515FD"/>
    <w:rsid w:val="00253DF5"/>
    <w:rsid w:val="00255A31"/>
    <w:rsid w:val="00256057"/>
    <w:rsid w:val="00257071"/>
    <w:rsid w:val="0026105F"/>
    <w:rsid w:val="002663F8"/>
    <w:rsid w:val="00266EA3"/>
    <w:rsid w:val="0026764C"/>
    <w:rsid w:val="0027252F"/>
    <w:rsid w:val="0027277C"/>
    <w:rsid w:val="00273B1C"/>
    <w:rsid w:val="0027482A"/>
    <w:rsid w:val="00275D4E"/>
    <w:rsid w:val="002822D5"/>
    <w:rsid w:val="00282608"/>
    <w:rsid w:val="0028265B"/>
    <w:rsid w:val="00283A5F"/>
    <w:rsid w:val="002945A7"/>
    <w:rsid w:val="002A23A7"/>
    <w:rsid w:val="002B4E60"/>
    <w:rsid w:val="002B5567"/>
    <w:rsid w:val="002C0C37"/>
    <w:rsid w:val="002C227A"/>
    <w:rsid w:val="002D309E"/>
    <w:rsid w:val="002D4171"/>
    <w:rsid w:val="002E1B3A"/>
    <w:rsid w:val="002F06E7"/>
    <w:rsid w:val="002F0E16"/>
    <w:rsid w:val="002F41FC"/>
    <w:rsid w:val="002F6E4E"/>
    <w:rsid w:val="00312E91"/>
    <w:rsid w:val="003141AF"/>
    <w:rsid w:val="0032111E"/>
    <w:rsid w:val="00323CFD"/>
    <w:rsid w:val="00323F29"/>
    <w:rsid w:val="00342060"/>
    <w:rsid w:val="003515B4"/>
    <w:rsid w:val="00354802"/>
    <w:rsid w:val="0035521E"/>
    <w:rsid w:val="003704BD"/>
    <w:rsid w:val="003774EA"/>
    <w:rsid w:val="0038628C"/>
    <w:rsid w:val="00393F2E"/>
    <w:rsid w:val="003951C5"/>
    <w:rsid w:val="003A441D"/>
    <w:rsid w:val="003A5D83"/>
    <w:rsid w:val="003A760B"/>
    <w:rsid w:val="003B3046"/>
    <w:rsid w:val="003C23FA"/>
    <w:rsid w:val="003C336D"/>
    <w:rsid w:val="003D1F09"/>
    <w:rsid w:val="003F1B89"/>
    <w:rsid w:val="003F3C6D"/>
    <w:rsid w:val="00400876"/>
    <w:rsid w:val="00410F93"/>
    <w:rsid w:val="00414FDA"/>
    <w:rsid w:val="00432F64"/>
    <w:rsid w:val="00434BDA"/>
    <w:rsid w:val="00435067"/>
    <w:rsid w:val="00475058"/>
    <w:rsid w:val="00477171"/>
    <w:rsid w:val="004773C4"/>
    <w:rsid w:val="00487DEF"/>
    <w:rsid w:val="00493669"/>
    <w:rsid w:val="004948F9"/>
    <w:rsid w:val="00497B18"/>
    <w:rsid w:val="004A1133"/>
    <w:rsid w:val="004A79B0"/>
    <w:rsid w:val="004B627B"/>
    <w:rsid w:val="004B750D"/>
    <w:rsid w:val="004C3199"/>
    <w:rsid w:val="004C5CC7"/>
    <w:rsid w:val="004C66D1"/>
    <w:rsid w:val="004C791F"/>
    <w:rsid w:val="004E2385"/>
    <w:rsid w:val="004E605D"/>
    <w:rsid w:val="004F21AB"/>
    <w:rsid w:val="004F7F05"/>
    <w:rsid w:val="0050544B"/>
    <w:rsid w:val="005067DC"/>
    <w:rsid w:val="0051207B"/>
    <w:rsid w:val="005132DF"/>
    <w:rsid w:val="00515C14"/>
    <w:rsid w:val="00517A04"/>
    <w:rsid w:val="005210C9"/>
    <w:rsid w:val="00527452"/>
    <w:rsid w:val="005335A0"/>
    <w:rsid w:val="0054093B"/>
    <w:rsid w:val="0054358E"/>
    <w:rsid w:val="00543986"/>
    <w:rsid w:val="00544666"/>
    <w:rsid w:val="0054520D"/>
    <w:rsid w:val="00545777"/>
    <w:rsid w:val="00550FA5"/>
    <w:rsid w:val="0055579E"/>
    <w:rsid w:val="00555C9E"/>
    <w:rsid w:val="00555E11"/>
    <w:rsid w:val="005678C8"/>
    <w:rsid w:val="00570BD3"/>
    <w:rsid w:val="00574634"/>
    <w:rsid w:val="005807E6"/>
    <w:rsid w:val="005949F8"/>
    <w:rsid w:val="005A2133"/>
    <w:rsid w:val="005B1F8F"/>
    <w:rsid w:val="005C0239"/>
    <w:rsid w:val="005C0A14"/>
    <w:rsid w:val="005C3471"/>
    <w:rsid w:val="005C60A1"/>
    <w:rsid w:val="005D2AD8"/>
    <w:rsid w:val="005D2BE7"/>
    <w:rsid w:val="005D2F96"/>
    <w:rsid w:val="005D5F88"/>
    <w:rsid w:val="005E1C91"/>
    <w:rsid w:val="005E6AD7"/>
    <w:rsid w:val="006067BB"/>
    <w:rsid w:val="00614C48"/>
    <w:rsid w:val="00631AA5"/>
    <w:rsid w:val="00636E28"/>
    <w:rsid w:val="00652E9E"/>
    <w:rsid w:val="0065516F"/>
    <w:rsid w:val="00671437"/>
    <w:rsid w:val="006750AD"/>
    <w:rsid w:val="0068011B"/>
    <w:rsid w:val="00692510"/>
    <w:rsid w:val="0069678A"/>
    <w:rsid w:val="00696DA5"/>
    <w:rsid w:val="006A2165"/>
    <w:rsid w:val="006A2498"/>
    <w:rsid w:val="006B276B"/>
    <w:rsid w:val="006C5277"/>
    <w:rsid w:val="006D78E5"/>
    <w:rsid w:val="006F2631"/>
    <w:rsid w:val="00701F5B"/>
    <w:rsid w:val="00704D1F"/>
    <w:rsid w:val="00705C01"/>
    <w:rsid w:val="00711C5C"/>
    <w:rsid w:val="0072025C"/>
    <w:rsid w:val="00722C4A"/>
    <w:rsid w:val="007320D9"/>
    <w:rsid w:val="00736C86"/>
    <w:rsid w:val="00740607"/>
    <w:rsid w:val="00740E2F"/>
    <w:rsid w:val="00741A73"/>
    <w:rsid w:val="00745F33"/>
    <w:rsid w:val="0076251D"/>
    <w:rsid w:val="0076472B"/>
    <w:rsid w:val="00774F56"/>
    <w:rsid w:val="0078515F"/>
    <w:rsid w:val="007922AA"/>
    <w:rsid w:val="007938C7"/>
    <w:rsid w:val="0079607F"/>
    <w:rsid w:val="00796AD6"/>
    <w:rsid w:val="00797D05"/>
    <w:rsid w:val="007A16F5"/>
    <w:rsid w:val="007A57CB"/>
    <w:rsid w:val="007A65DA"/>
    <w:rsid w:val="007B6AEF"/>
    <w:rsid w:val="007C3830"/>
    <w:rsid w:val="007D1A75"/>
    <w:rsid w:val="007E100F"/>
    <w:rsid w:val="007F0DA0"/>
    <w:rsid w:val="007F33D2"/>
    <w:rsid w:val="007F79E2"/>
    <w:rsid w:val="00817335"/>
    <w:rsid w:val="008202A2"/>
    <w:rsid w:val="0082068B"/>
    <w:rsid w:val="00822439"/>
    <w:rsid w:val="00831873"/>
    <w:rsid w:val="00837402"/>
    <w:rsid w:val="008411B8"/>
    <w:rsid w:val="00841E6C"/>
    <w:rsid w:val="00851B91"/>
    <w:rsid w:val="00863778"/>
    <w:rsid w:val="00864930"/>
    <w:rsid w:val="00874154"/>
    <w:rsid w:val="00881F68"/>
    <w:rsid w:val="008972C1"/>
    <w:rsid w:val="008A2B64"/>
    <w:rsid w:val="008C4735"/>
    <w:rsid w:val="008C5ECB"/>
    <w:rsid w:val="008D28E2"/>
    <w:rsid w:val="008D69C7"/>
    <w:rsid w:val="008E02F7"/>
    <w:rsid w:val="008E2DF2"/>
    <w:rsid w:val="008E5B38"/>
    <w:rsid w:val="008E5C5F"/>
    <w:rsid w:val="008F0F30"/>
    <w:rsid w:val="008F0F62"/>
    <w:rsid w:val="008F78AB"/>
    <w:rsid w:val="0090247E"/>
    <w:rsid w:val="009059D1"/>
    <w:rsid w:val="00915C14"/>
    <w:rsid w:val="00932123"/>
    <w:rsid w:val="0094525A"/>
    <w:rsid w:val="009457FB"/>
    <w:rsid w:val="00947F77"/>
    <w:rsid w:val="009554AD"/>
    <w:rsid w:val="00961039"/>
    <w:rsid w:val="00975E71"/>
    <w:rsid w:val="00977048"/>
    <w:rsid w:val="00977973"/>
    <w:rsid w:val="00977BDE"/>
    <w:rsid w:val="00981407"/>
    <w:rsid w:val="00985F56"/>
    <w:rsid w:val="00994883"/>
    <w:rsid w:val="009959CD"/>
    <w:rsid w:val="009A1FEB"/>
    <w:rsid w:val="009A2F2D"/>
    <w:rsid w:val="009B4F07"/>
    <w:rsid w:val="009B5DF7"/>
    <w:rsid w:val="009C1AED"/>
    <w:rsid w:val="009C5FB0"/>
    <w:rsid w:val="009D080C"/>
    <w:rsid w:val="009D2DA1"/>
    <w:rsid w:val="009D3084"/>
    <w:rsid w:val="009D4889"/>
    <w:rsid w:val="009D66C5"/>
    <w:rsid w:val="009E3945"/>
    <w:rsid w:val="009F1089"/>
    <w:rsid w:val="009F4159"/>
    <w:rsid w:val="009F7389"/>
    <w:rsid w:val="00A018E4"/>
    <w:rsid w:val="00A01A2D"/>
    <w:rsid w:val="00A16F39"/>
    <w:rsid w:val="00A22860"/>
    <w:rsid w:val="00A24E0F"/>
    <w:rsid w:val="00A264CC"/>
    <w:rsid w:val="00A31440"/>
    <w:rsid w:val="00A418E8"/>
    <w:rsid w:val="00A42D6D"/>
    <w:rsid w:val="00A717FE"/>
    <w:rsid w:val="00A818A5"/>
    <w:rsid w:val="00A82ADC"/>
    <w:rsid w:val="00A8436D"/>
    <w:rsid w:val="00A84A6B"/>
    <w:rsid w:val="00A867D1"/>
    <w:rsid w:val="00A86A7C"/>
    <w:rsid w:val="00A942B9"/>
    <w:rsid w:val="00AA3563"/>
    <w:rsid w:val="00AC0CC2"/>
    <w:rsid w:val="00AE4F6E"/>
    <w:rsid w:val="00AE5704"/>
    <w:rsid w:val="00AF05B8"/>
    <w:rsid w:val="00B0213C"/>
    <w:rsid w:val="00B03877"/>
    <w:rsid w:val="00B079D6"/>
    <w:rsid w:val="00B13F2D"/>
    <w:rsid w:val="00B201EF"/>
    <w:rsid w:val="00B23EA8"/>
    <w:rsid w:val="00B32568"/>
    <w:rsid w:val="00B3696D"/>
    <w:rsid w:val="00B401BD"/>
    <w:rsid w:val="00B5366C"/>
    <w:rsid w:val="00B57D15"/>
    <w:rsid w:val="00B607E1"/>
    <w:rsid w:val="00B61630"/>
    <w:rsid w:val="00B64B5B"/>
    <w:rsid w:val="00B67A13"/>
    <w:rsid w:val="00B72AA9"/>
    <w:rsid w:val="00B72B6C"/>
    <w:rsid w:val="00B76A62"/>
    <w:rsid w:val="00B77620"/>
    <w:rsid w:val="00B84A68"/>
    <w:rsid w:val="00B949C6"/>
    <w:rsid w:val="00B94B2C"/>
    <w:rsid w:val="00B96ABA"/>
    <w:rsid w:val="00BA18C1"/>
    <w:rsid w:val="00BA60CB"/>
    <w:rsid w:val="00BA62EA"/>
    <w:rsid w:val="00BA724E"/>
    <w:rsid w:val="00BB4D3D"/>
    <w:rsid w:val="00BC2E7F"/>
    <w:rsid w:val="00BC5777"/>
    <w:rsid w:val="00BD075A"/>
    <w:rsid w:val="00BD6403"/>
    <w:rsid w:val="00BE60E9"/>
    <w:rsid w:val="00C002C3"/>
    <w:rsid w:val="00C03F36"/>
    <w:rsid w:val="00C06151"/>
    <w:rsid w:val="00C138E3"/>
    <w:rsid w:val="00C50C79"/>
    <w:rsid w:val="00C56A1A"/>
    <w:rsid w:val="00C6208D"/>
    <w:rsid w:val="00C63D0E"/>
    <w:rsid w:val="00C65CE3"/>
    <w:rsid w:val="00C721C6"/>
    <w:rsid w:val="00C75775"/>
    <w:rsid w:val="00C76359"/>
    <w:rsid w:val="00C81DE9"/>
    <w:rsid w:val="00C912F8"/>
    <w:rsid w:val="00C9403E"/>
    <w:rsid w:val="00CA0816"/>
    <w:rsid w:val="00CA4BCA"/>
    <w:rsid w:val="00CA67AB"/>
    <w:rsid w:val="00CA6AD0"/>
    <w:rsid w:val="00CA7F8C"/>
    <w:rsid w:val="00CB4805"/>
    <w:rsid w:val="00CB6EC2"/>
    <w:rsid w:val="00CC2C8B"/>
    <w:rsid w:val="00CD372B"/>
    <w:rsid w:val="00CD62D8"/>
    <w:rsid w:val="00CE00D1"/>
    <w:rsid w:val="00CE15A4"/>
    <w:rsid w:val="00CE2523"/>
    <w:rsid w:val="00CE30EB"/>
    <w:rsid w:val="00CE3CAC"/>
    <w:rsid w:val="00CF3985"/>
    <w:rsid w:val="00CF631F"/>
    <w:rsid w:val="00D01BA1"/>
    <w:rsid w:val="00D06989"/>
    <w:rsid w:val="00D20F1D"/>
    <w:rsid w:val="00D23ACB"/>
    <w:rsid w:val="00D2483B"/>
    <w:rsid w:val="00D37035"/>
    <w:rsid w:val="00D548F8"/>
    <w:rsid w:val="00D711DF"/>
    <w:rsid w:val="00D92AB2"/>
    <w:rsid w:val="00D93FA2"/>
    <w:rsid w:val="00D943EE"/>
    <w:rsid w:val="00DA5F7E"/>
    <w:rsid w:val="00DB116B"/>
    <w:rsid w:val="00DD35D0"/>
    <w:rsid w:val="00DD3EAD"/>
    <w:rsid w:val="00DE0836"/>
    <w:rsid w:val="00DE537D"/>
    <w:rsid w:val="00DF2DE6"/>
    <w:rsid w:val="00E066A3"/>
    <w:rsid w:val="00E07BD6"/>
    <w:rsid w:val="00E10241"/>
    <w:rsid w:val="00E14941"/>
    <w:rsid w:val="00E15032"/>
    <w:rsid w:val="00E17310"/>
    <w:rsid w:val="00E25121"/>
    <w:rsid w:val="00E266C6"/>
    <w:rsid w:val="00E32AAA"/>
    <w:rsid w:val="00E40D67"/>
    <w:rsid w:val="00E423D0"/>
    <w:rsid w:val="00E4569B"/>
    <w:rsid w:val="00E547B1"/>
    <w:rsid w:val="00E62AF9"/>
    <w:rsid w:val="00E62FED"/>
    <w:rsid w:val="00E65B73"/>
    <w:rsid w:val="00E65F6F"/>
    <w:rsid w:val="00E66E62"/>
    <w:rsid w:val="00E81760"/>
    <w:rsid w:val="00E82A00"/>
    <w:rsid w:val="00E85607"/>
    <w:rsid w:val="00E922F1"/>
    <w:rsid w:val="00E97270"/>
    <w:rsid w:val="00EB2BE3"/>
    <w:rsid w:val="00EB536F"/>
    <w:rsid w:val="00EC1F4A"/>
    <w:rsid w:val="00EE5167"/>
    <w:rsid w:val="00EF225E"/>
    <w:rsid w:val="00EF53A5"/>
    <w:rsid w:val="00F007ED"/>
    <w:rsid w:val="00F0263F"/>
    <w:rsid w:val="00F0522A"/>
    <w:rsid w:val="00F105E2"/>
    <w:rsid w:val="00F11724"/>
    <w:rsid w:val="00F17BEC"/>
    <w:rsid w:val="00F2011E"/>
    <w:rsid w:val="00F30EB2"/>
    <w:rsid w:val="00F31DC9"/>
    <w:rsid w:val="00F33F61"/>
    <w:rsid w:val="00F440AC"/>
    <w:rsid w:val="00F463BA"/>
    <w:rsid w:val="00F519BB"/>
    <w:rsid w:val="00F52950"/>
    <w:rsid w:val="00F532AF"/>
    <w:rsid w:val="00F64B69"/>
    <w:rsid w:val="00F74804"/>
    <w:rsid w:val="00F817D5"/>
    <w:rsid w:val="00F84E42"/>
    <w:rsid w:val="00F86781"/>
    <w:rsid w:val="00F975E5"/>
    <w:rsid w:val="00FA1A85"/>
    <w:rsid w:val="00FA5171"/>
    <w:rsid w:val="00FB05D3"/>
    <w:rsid w:val="00FB368F"/>
    <w:rsid w:val="00FE418F"/>
    <w:rsid w:val="00FF15E0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823D5"/>
  <w15:docId w15:val="{799B1DD8-81B5-44F2-9941-4BC75974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B94B2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2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 Indent"/>
    <w:basedOn w:val="a"/>
    <w:link w:val="a4"/>
    <w:uiPriority w:val="99"/>
    <w:rsid w:val="00B67A13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67A13"/>
    <w:rPr>
      <w:rFonts w:ascii="Times New Roman" w:eastAsia="Times New Roman" w:hAnsi="Times New Roman" w:cs="Times New Roman"/>
      <w:lang w:val="x-none" w:eastAsia="x-none"/>
    </w:rPr>
  </w:style>
  <w:style w:type="paragraph" w:styleId="a5">
    <w:name w:val="List Paragraph"/>
    <w:aliases w:val="AC List 01"/>
    <w:basedOn w:val="a"/>
    <w:link w:val="a6"/>
    <w:uiPriority w:val="34"/>
    <w:qFormat/>
    <w:rsid w:val="00B67A13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styleId="a7">
    <w:name w:val="Normal (Web)"/>
    <w:basedOn w:val="a"/>
    <w:uiPriority w:val="99"/>
    <w:unhideWhenUsed/>
    <w:rsid w:val="00B67A13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ru-RU" w:eastAsia="ru-RU"/>
    </w:rPr>
  </w:style>
  <w:style w:type="character" w:customStyle="1" w:styleId="a6">
    <w:name w:val="Абзац списка Знак"/>
    <w:aliases w:val="AC List 01 Знак"/>
    <w:basedOn w:val="a0"/>
    <w:link w:val="a5"/>
    <w:uiPriority w:val="34"/>
    <w:rsid w:val="00B67A13"/>
    <w:rPr>
      <w:rFonts w:ascii="Times New Roman" w:eastAsia="Times New Roman" w:hAnsi="Times New Roman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47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F7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061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6151"/>
  </w:style>
  <w:style w:type="paragraph" w:styleId="ac">
    <w:name w:val="footer"/>
    <w:basedOn w:val="a"/>
    <w:link w:val="ad"/>
    <w:uiPriority w:val="99"/>
    <w:unhideWhenUsed/>
    <w:rsid w:val="00C061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6151"/>
  </w:style>
  <w:style w:type="paragraph" w:customStyle="1" w:styleId="Default">
    <w:name w:val="Default"/>
    <w:rsid w:val="00C50C79"/>
    <w:pPr>
      <w:autoSpaceDE w:val="0"/>
      <w:autoSpaceDN w:val="0"/>
      <w:adjustRightInd w:val="0"/>
    </w:pPr>
    <w:rPr>
      <w:rFonts w:ascii="Arial" w:hAnsi="Arial" w:cs="Arial"/>
      <w:color w:val="000000"/>
      <w:lang w:val="ru-RU"/>
    </w:rPr>
  </w:style>
  <w:style w:type="paragraph" w:styleId="ae">
    <w:name w:val="No Spacing"/>
    <w:uiPriority w:val="1"/>
    <w:qFormat/>
    <w:rsid w:val="008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9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2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6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5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59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47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1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5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8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5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2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7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7804">
          <w:marLeft w:val="547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460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95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579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832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5345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412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342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2599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3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8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92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88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1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1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2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923">
          <w:marLeft w:val="562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011C-6111-4F55-8699-A466E64C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9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Zhaslan Madiyev</dc:creator>
  <cp:lastModifiedBy>Алибек Е. Бейсенбаев</cp:lastModifiedBy>
  <cp:revision>28</cp:revision>
  <cp:lastPrinted>2022-04-25T03:59:00Z</cp:lastPrinted>
  <dcterms:created xsi:type="dcterms:W3CDTF">2022-04-25T04:02:00Z</dcterms:created>
  <dcterms:modified xsi:type="dcterms:W3CDTF">2024-04-26T11:52:00Z</dcterms:modified>
</cp:coreProperties>
</file>